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Style w:val="7"/>
          <w:rFonts w:hint="default" w:ascii="黑体" w:hAnsi="黑体" w:eastAsia="黑体" w:cs="黑体"/>
          <w:b/>
          <w:bCs w:val="0"/>
          <w:i w:val="0"/>
          <w:caps w:val="0"/>
          <w:color w:val="141414"/>
          <w:spacing w:val="0"/>
          <w:kern w:val="0"/>
          <w:sz w:val="30"/>
          <w:szCs w:val="30"/>
          <w:shd w:val="clear" w:fill="FFFFFF"/>
          <w:lang w:val="en-US" w:eastAsia="zh-CN" w:bidi="ar"/>
        </w:rPr>
      </w:pPr>
      <w:bookmarkStart w:id="0" w:name="_GoBack"/>
      <w:r>
        <w:rPr>
          <w:rStyle w:val="7"/>
          <w:rFonts w:hint="eastAsia" w:ascii="黑体" w:hAnsi="黑体" w:eastAsia="黑体" w:cs="黑体"/>
          <w:b/>
          <w:bCs w:val="0"/>
          <w:i w:val="0"/>
          <w:caps w:val="0"/>
          <w:color w:val="141414"/>
          <w:spacing w:val="0"/>
          <w:kern w:val="0"/>
          <w:sz w:val="30"/>
          <w:szCs w:val="30"/>
          <w:shd w:val="clear" w:fill="FFFFFF"/>
          <w:lang w:val="en-US" w:eastAsia="zh-CN" w:bidi="ar"/>
        </w:rPr>
        <w:t>云南省住房和城乡建设厅关于进一步促进</w:t>
      </w:r>
      <w:r>
        <w:rPr>
          <w:rStyle w:val="7"/>
          <w:rFonts w:hint="default" w:ascii="黑体" w:hAnsi="黑体" w:eastAsia="黑体" w:cs="黑体"/>
          <w:b/>
          <w:bCs w:val="0"/>
          <w:i w:val="0"/>
          <w:caps w:val="0"/>
          <w:color w:val="141414"/>
          <w:spacing w:val="0"/>
          <w:kern w:val="0"/>
          <w:sz w:val="30"/>
          <w:szCs w:val="30"/>
          <w:shd w:val="clear" w:fill="FFFFFF"/>
          <w:lang w:val="en-US" w:eastAsia="zh-CN" w:bidi="ar"/>
        </w:rPr>
        <w:t>装配式建筑产业健康发展的通知</w:t>
      </w:r>
    </w:p>
    <w:bookmarkEnd w:id="0"/>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i w:val="0"/>
          <w:caps w:val="0"/>
          <w:color w:val="141414"/>
          <w:spacing w:val="0"/>
          <w:kern w:val="0"/>
          <w:sz w:val="28"/>
          <w:szCs w:val="28"/>
          <w:shd w:val="clear" w:fill="FFFFFF"/>
          <w:lang w:val="en-US" w:eastAsia="zh-CN" w:bidi="ar"/>
        </w:rPr>
      </w:pP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云建科〔2021〕42号</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 </w:t>
      </w:r>
    </w:p>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各州、市住房和城乡建设局，滇中新区规划建设管理部：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为统筹做好抗疫情稳经济各项工作，落实“六稳”“六保”任务，深入推进全省绿色建筑创建行动，进一步发挥装配式建筑作为绿色建筑载体的积极作用，加快新型建筑工业化发展，促进装配式建筑产业有序健康发展，鼓励和带动建筑业转型升级和高质量发展，根据《云南省人民政府办公厅关于大力发展装配式建筑的实施意见》（云政办发〔2017〕65号，以下简称《实施意见》），现就进一步促进装配式建筑产业健康发展事宜通知如下：</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一、分类推进装配式建筑产业发展。</w:t>
      </w:r>
      <w:r>
        <w:rPr>
          <w:rFonts w:hint="eastAsia" w:ascii="宋体" w:hAnsi="宋体" w:eastAsia="宋体" w:cs="宋体"/>
          <w:i w:val="0"/>
          <w:caps w:val="0"/>
          <w:color w:val="141414"/>
          <w:spacing w:val="0"/>
          <w:kern w:val="0"/>
          <w:sz w:val="28"/>
          <w:szCs w:val="28"/>
          <w:shd w:val="clear" w:fill="FFFFFF"/>
          <w:lang w:val="en-US" w:eastAsia="zh-CN" w:bidi="ar"/>
        </w:rPr>
        <w:t>新建政府投资公益性建筑和市政设施，原则上应采用装配式建造方式，鼓励和引导社会投资工程建设项目采用装配式建造方式。根据不同建筑类型，按照“宜钢则钢、宜混则混”的原则，合理选择结构类型和实施范围，新建公共建筑优先采用钢结构，稳步提高装配式钢结构建筑规模；考虑云南高烈度抗震设防的实际，在保证质量安全的前提下，积极稳妥推广装配式混凝土建筑，有效提升其在新建建筑中的占比；因地制宜应用木结构建筑，体现民族、地域、文化特色；鼓励盒舱式等集成装配式建筑系统在市政、旅游、卫生、应急保障等公共服务领域的的技术研发与推广应用。</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二、鼓励更多建筑采用装配式技术体系。</w:t>
      </w:r>
      <w:r>
        <w:rPr>
          <w:rFonts w:hint="eastAsia" w:ascii="宋体" w:hAnsi="宋体" w:eastAsia="宋体" w:cs="宋体"/>
          <w:i w:val="0"/>
          <w:caps w:val="0"/>
          <w:color w:val="141414"/>
          <w:spacing w:val="0"/>
          <w:kern w:val="0"/>
          <w:sz w:val="28"/>
          <w:szCs w:val="28"/>
          <w:shd w:val="clear" w:fill="FFFFFF"/>
          <w:lang w:val="en-US" w:eastAsia="zh-CN" w:bidi="ar"/>
        </w:rPr>
        <w:t>参照《装配式建筑评价标准》（GB/T51129）、《云南省装配式建筑评价标准》（</w:t>
      </w:r>
      <w:r>
        <w:rPr>
          <w:rFonts w:hint="default" w:ascii="宋体" w:hAnsi="宋体" w:eastAsia="宋体" w:cs="宋体"/>
          <w:i w:val="0"/>
          <w:caps w:val="0"/>
          <w:color w:val="141414"/>
          <w:spacing w:val="0"/>
          <w:kern w:val="0"/>
          <w:sz w:val="28"/>
          <w:szCs w:val="28"/>
          <w:shd w:val="clear" w:fill="FFFFFF"/>
          <w:lang w:val="en-US" w:eastAsia="zh-CN" w:bidi="ar"/>
        </w:rPr>
        <w:t>DBJ53</w:t>
      </w:r>
      <w:r>
        <w:rPr>
          <w:rFonts w:hint="eastAsia" w:ascii="宋体" w:hAnsi="宋体" w:eastAsia="宋体" w:cs="宋体"/>
          <w:i w:val="0"/>
          <w:caps w:val="0"/>
          <w:color w:val="141414"/>
          <w:spacing w:val="0"/>
          <w:kern w:val="0"/>
          <w:sz w:val="28"/>
          <w:szCs w:val="28"/>
          <w:shd w:val="clear" w:fill="FFFFFF"/>
          <w:lang w:val="en-US" w:eastAsia="zh-CN" w:bidi="ar"/>
        </w:rPr>
        <w:t>/T</w:t>
      </w:r>
      <w:r>
        <w:rPr>
          <w:rFonts w:hint="default" w:ascii="宋体" w:hAnsi="宋体" w:eastAsia="宋体" w:cs="宋体"/>
          <w:i w:val="0"/>
          <w:caps w:val="0"/>
          <w:color w:val="141414"/>
          <w:spacing w:val="0"/>
          <w:kern w:val="0"/>
          <w:sz w:val="28"/>
          <w:szCs w:val="28"/>
          <w:shd w:val="clear" w:fill="FFFFFF"/>
          <w:lang w:val="en-US" w:eastAsia="zh-CN" w:bidi="ar"/>
        </w:rPr>
        <w:t>—96</w:t>
      </w:r>
      <w:r>
        <w:rPr>
          <w:rFonts w:hint="eastAsia" w:ascii="宋体" w:hAnsi="宋体" w:eastAsia="宋体" w:cs="宋体"/>
          <w:i w:val="0"/>
          <w:caps w:val="0"/>
          <w:color w:val="141414"/>
          <w:spacing w:val="0"/>
          <w:kern w:val="0"/>
          <w:sz w:val="28"/>
          <w:szCs w:val="28"/>
          <w:shd w:val="clear" w:fill="FFFFFF"/>
          <w:lang w:val="en-US" w:eastAsia="zh-CN" w:bidi="ar"/>
        </w:rPr>
        <w:t>），混凝土建筑装配率达到一定比例的，各地住房城乡建设主管部门可比照装配式建筑，依法依规在建设工程审批、预售许可办理等方面予以支持。采用装配式技术体系的混凝土建筑，昆明市五华区、盘龙区、官渡区、西山区、呈贡区及3个国家级开发（度假）区、晋宁区、安宁市、嵩明县和宜良县，单体建筑装配率应不低于</w:t>
      </w:r>
      <w:r>
        <w:rPr>
          <w:rFonts w:hint="default" w:ascii="宋体" w:hAnsi="宋体" w:eastAsia="宋体" w:cs="宋体"/>
          <w:i w:val="0"/>
          <w:caps w:val="0"/>
          <w:color w:val="141414"/>
          <w:spacing w:val="0"/>
          <w:kern w:val="0"/>
          <w:sz w:val="28"/>
          <w:szCs w:val="28"/>
          <w:shd w:val="clear" w:fill="FFFFFF"/>
          <w:lang w:val="en-US" w:eastAsia="zh-CN" w:bidi="ar"/>
        </w:rPr>
        <w:t>20%</w:t>
      </w:r>
      <w:r>
        <w:rPr>
          <w:rFonts w:hint="eastAsia" w:ascii="宋体" w:hAnsi="宋体" w:eastAsia="宋体" w:cs="宋体"/>
          <w:i w:val="0"/>
          <w:caps w:val="0"/>
          <w:color w:val="141414"/>
          <w:spacing w:val="0"/>
          <w:kern w:val="0"/>
          <w:sz w:val="28"/>
          <w:szCs w:val="28"/>
          <w:shd w:val="clear" w:fill="FFFFFF"/>
          <w:lang w:val="en-US" w:eastAsia="zh-CN" w:bidi="ar"/>
        </w:rPr>
        <w:t>；其他城市单体建筑装配率应不低于</w:t>
      </w:r>
      <w:r>
        <w:rPr>
          <w:rFonts w:hint="default" w:ascii="宋体" w:hAnsi="宋体" w:eastAsia="宋体" w:cs="宋体"/>
          <w:i w:val="0"/>
          <w:caps w:val="0"/>
          <w:color w:val="141414"/>
          <w:spacing w:val="0"/>
          <w:kern w:val="0"/>
          <w:sz w:val="28"/>
          <w:szCs w:val="28"/>
          <w:shd w:val="clear" w:fill="FFFFFF"/>
          <w:lang w:val="en-US" w:eastAsia="zh-CN" w:bidi="ar"/>
        </w:rPr>
        <w:t>15%</w:t>
      </w:r>
      <w:r>
        <w:rPr>
          <w:rFonts w:hint="eastAsia" w:ascii="宋体" w:hAnsi="宋体" w:eastAsia="宋体" w:cs="宋体"/>
          <w:i w:val="0"/>
          <w:caps w:val="0"/>
          <w:color w:val="141414"/>
          <w:spacing w:val="0"/>
          <w:kern w:val="0"/>
          <w:sz w:val="28"/>
          <w:szCs w:val="28"/>
          <w:shd w:val="clear" w:fill="FFFFFF"/>
          <w:lang w:val="en-US" w:eastAsia="zh-CN" w:bidi="ar"/>
        </w:rPr>
        <w:t>；同时应结合本地实际，充分选用预制部品部件。装配率和实施区域范围结合技术进步和产业发展情况进行动态调整。</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三、推广成熟适用技术。</w:t>
      </w:r>
      <w:r>
        <w:rPr>
          <w:rFonts w:hint="eastAsia" w:ascii="宋体" w:hAnsi="宋体" w:eastAsia="宋体" w:cs="宋体"/>
          <w:i w:val="0"/>
          <w:caps w:val="0"/>
          <w:color w:val="141414"/>
          <w:spacing w:val="0"/>
          <w:kern w:val="0"/>
          <w:sz w:val="28"/>
          <w:szCs w:val="28"/>
          <w:shd w:val="clear" w:fill="FFFFFF"/>
          <w:lang w:val="en-US" w:eastAsia="zh-CN" w:bidi="ar"/>
        </w:rPr>
        <w:t>发挥好装配式建筑产业基地支撑作用，通过绿色建材推广目录，加大推广应用力度，倡导建筑工程优先选用高精度模板、叠合楼板、预制楼梯、干法施工、管线分离等成熟适用技术和产品。加快推进内隔墙板材及其连接技术和施工工艺的研发应用，促进建筑工程质量提升。《云南省装配式建筑评价标准》中关于混凝土结构住宅采用免抹灰的高精度块料墙体产品及技术可以计入装配率的规定予以延期，延续至该标准修订发布实施时止。</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四、推进建筑全装修。</w:t>
      </w:r>
      <w:r>
        <w:rPr>
          <w:rFonts w:hint="eastAsia" w:ascii="宋体" w:hAnsi="宋体" w:eastAsia="宋体" w:cs="宋体"/>
          <w:i w:val="0"/>
          <w:caps w:val="0"/>
          <w:color w:val="141414"/>
          <w:spacing w:val="0"/>
          <w:kern w:val="0"/>
          <w:sz w:val="28"/>
          <w:szCs w:val="28"/>
          <w:shd w:val="clear" w:fill="FFFFFF"/>
          <w:lang w:val="en-US" w:eastAsia="zh-CN" w:bidi="ar"/>
        </w:rPr>
        <w:t>装配式建筑、星级绿色建筑工程项目应推广全装修，积极发展成品住宅。采用装配式技术体系和预制部品部件的建筑，应根据项目所在地实际情况，制定提供菜单式全装修方案，满足消费者个性化需求。</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五、优化审查服务流程。</w:t>
      </w:r>
      <w:r>
        <w:rPr>
          <w:rFonts w:hint="eastAsia" w:ascii="宋体" w:hAnsi="宋体" w:eastAsia="宋体" w:cs="宋体"/>
          <w:i w:val="0"/>
          <w:caps w:val="0"/>
          <w:color w:val="141414"/>
          <w:spacing w:val="0"/>
          <w:kern w:val="0"/>
          <w:sz w:val="28"/>
          <w:szCs w:val="28"/>
          <w:shd w:val="clear" w:fill="FFFFFF"/>
          <w:lang w:val="en-US" w:eastAsia="zh-CN" w:bidi="ar"/>
        </w:rPr>
        <w:t>加强和完善装配式建筑、采用装配式技术体系的建筑设计和施工图审查。建设单位应当编制装配式建筑、采用装配式技术体系和预制部品部件的设计专篇，载明装配率及预制部品部件应用情况，施工图审查机构应当在施工图审查时予以复核，并在施工图审查合格证中载明。</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六、加大政策支持力度。</w:t>
      </w:r>
      <w:r>
        <w:rPr>
          <w:rFonts w:hint="eastAsia" w:ascii="宋体" w:hAnsi="宋体" w:eastAsia="宋体" w:cs="宋体"/>
          <w:i w:val="0"/>
          <w:caps w:val="0"/>
          <w:color w:val="141414"/>
          <w:spacing w:val="0"/>
          <w:kern w:val="0"/>
          <w:sz w:val="28"/>
          <w:szCs w:val="28"/>
          <w:shd w:val="clear" w:fill="FFFFFF"/>
          <w:lang w:val="en-US" w:eastAsia="zh-CN" w:bidi="ar"/>
        </w:rPr>
        <w:t>各地住房城乡建设主管部门要在当地政府统一领导下，切实履行发展装配式建筑产业的牵头责任，应会同有关部门因地制宜落实省政府办公厅《实施意见》关于在财政、税收、金融、土地和技术支持等方面的要求，配套落实措施，促进项目落地，加快完善产业链。鼓励市场主体拓展融资渠道，通过上市融资、债券融资，筹措发展资金，提升发展能力，充分调动各方市场主体积极参与。</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七、营造良好环境氛围。</w:t>
      </w:r>
      <w:r>
        <w:rPr>
          <w:rFonts w:hint="eastAsia" w:ascii="宋体" w:hAnsi="宋体" w:eastAsia="宋体" w:cs="宋体"/>
          <w:i w:val="0"/>
          <w:caps w:val="0"/>
          <w:color w:val="141414"/>
          <w:spacing w:val="0"/>
          <w:kern w:val="0"/>
          <w:sz w:val="28"/>
          <w:szCs w:val="28"/>
          <w:shd w:val="clear" w:fill="FFFFFF"/>
          <w:lang w:val="en-US" w:eastAsia="zh-CN" w:bidi="ar"/>
        </w:rPr>
        <w:t>鼓励建设、设计、施工、监理、部品部件生产、装饰装修及高校、科研等企事业单位组建装配式建筑产业联盟，鼓励联合开展装配式建筑技术研发，加快科技研发成果转化应用，推动建筑业企业科技进步和转型升级，支持相关企业申报高新技术企业，并按规定享受企业所得税优惠。支持产业联盟、行业协会开展经验交流、技术创新、行业自律、人才培养、交流合作，推广应用新技术、新材料、新工艺、新设备。加大装配式建筑产业宣传力度，进一步提高公众对装配式建筑的感知度和认可度，努力营造各方共同关注、参与、支持装配式建筑发展的良好氛围。</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八、完善产业规划体系。</w:t>
      </w:r>
      <w:r>
        <w:rPr>
          <w:rFonts w:hint="eastAsia" w:ascii="宋体" w:hAnsi="宋体" w:eastAsia="宋体" w:cs="宋体"/>
          <w:i w:val="0"/>
          <w:caps w:val="0"/>
          <w:color w:val="141414"/>
          <w:spacing w:val="0"/>
          <w:kern w:val="0"/>
          <w:sz w:val="28"/>
          <w:szCs w:val="28"/>
          <w:shd w:val="clear" w:fill="FFFFFF"/>
          <w:lang w:val="en-US" w:eastAsia="zh-CN" w:bidi="ar"/>
        </w:rPr>
        <w:t>建立省、州（市）、县（市、区）三级联动机制，多部门协调开展工作。各地住房城乡建设主管部门应当结合工作实际，牵头会同有关部门制定装配式建筑产业发展规划或将其内容列入当地“十四五”住房城乡建设事业发展规划，制定年度计划，有序稳步推进实施，并将规划发展目标和年度发展目标上报省住房城乡建设厅。“十四五”规划发展目标和</w:t>
      </w:r>
      <w:r>
        <w:rPr>
          <w:rFonts w:hint="default" w:ascii="宋体" w:hAnsi="宋体" w:eastAsia="宋体" w:cs="宋体"/>
          <w:i w:val="0"/>
          <w:caps w:val="0"/>
          <w:color w:val="141414"/>
          <w:spacing w:val="0"/>
          <w:kern w:val="0"/>
          <w:sz w:val="28"/>
          <w:szCs w:val="28"/>
          <w:shd w:val="clear" w:fill="FFFFFF"/>
          <w:lang w:val="en-US" w:eastAsia="zh-CN" w:bidi="ar"/>
        </w:rPr>
        <w:t>2021</w:t>
      </w:r>
      <w:r>
        <w:rPr>
          <w:rFonts w:hint="eastAsia" w:ascii="宋体" w:hAnsi="宋体" w:eastAsia="宋体" w:cs="宋体"/>
          <w:i w:val="0"/>
          <w:caps w:val="0"/>
          <w:color w:val="141414"/>
          <w:spacing w:val="0"/>
          <w:kern w:val="0"/>
          <w:sz w:val="28"/>
          <w:szCs w:val="28"/>
          <w:shd w:val="clear" w:fill="FFFFFF"/>
          <w:lang w:val="en-US" w:eastAsia="zh-CN" w:bidi="ar"/>
        </w:rPr>
        <w:t>年度计划目标请于</w:t>
      </w:r>
      <w:r>
        <w:rPr>
          <w:rFonts w:hint="default" w:ascii="宋体" w:hAnsi="宋体" w:eastAsia="宋体" w:cs="宋体"/>
          <w:i w:val="0"/>
          <w:caps w:val="0"/>
          <w:color w:val="141414"/>
          <w:spacing w:val="0"/>
          <w:kern w:val="0"/>
          <w:sz w:val="28"/>
          <w:szCs w:val="28"/>
          <w:shd w:val="clear" w:fill="FFFFFF"/>
          <w:lang w:val="en-US" w:eastAsia="zh-CN" w:bidi="ar"/>
        </w:rPr>
        <w:t>2021</w:t>
      </w:r>
      <w:r>
        <w:rPr>
          <w:rFonts w:hint="eastAsia" w:ascii="宋体" w:hAnsi="宋体" w:eastAsia="宋体" w:cs="宋体"/>
          <w:i w:val="0"/>
          <w:caps w:val="0"/>
          <w:color w:val="141414"/>
          <w:spacing w:val="0"/>
          <w:kern w:val="0"/>
          <w:sz w:val="28"/>
          <w:szCs w:val="28"/>
          <w:shd w:val="clear" w:fill="FFFFFF"/>
          <w:lang w:val="en-US" w:eastAsia="zh-CN" w:bidi="ar"/>
        </w:rPr>
        <w:t>年</w:t>
      </w:r>
      <w:r>
        <w:rPr>
          <w:rFonts w:hint="default" w:ascii="宋体" w:hAnsi="宋体" w:eastAsia="宋体" w:cs="宋体"/>
          <w:i w:val="0"/>
          <w:caps w:val="0"/>
          <w:color w:val="141414"/>
          <w:spacing w:val="0"/>
          <w:kern w:val="0"/>
          <w:sz w:val="28"/>
          <w:szCs w:val="28"/>
          <w:shd w:val="clear" w:fill="FFFFFF"/>
          <w:lang w:val="en-US" w:eastAsia="zh-CN" w:bidi="ar"/>
        </w:rPr>
        <w:t>4</w:t>
      </w:r>
      <w:r>
        <w:rPr>
          <w:rFonts w:hint="eastAsia" w:ascii="宋体" w:hAnsi="宋体" w:eastAsia="宋体" w:cs="宋体"/>
          <w:i w:val="0"/>
          <w:caps w:val="0"/>
          <w:color w:val="141414"/>
          <w:spacing w:val="0"/>
          <w:kern w:val="0"/>
          <w:sz w:val="28"/>
          <w:szCs w:val="28"/>
          <w:shd w:val="clear" w:fill="FFFFFF"/>
          <w:lang w:val="en-US" w:eastAsia="zh-CN" w:bidi="ar"/>
        </w:rPr>
        <w:t>月</w:t>
      </w:r>
      <w:r>
        <w:rPr>
          <w:rFonts w:hint="default" w:ascii="宋体" w:hAnsi="宋体" w:eastAsia="宋体" w:cs="宋体"/>
          <w:i w:val="0"/>
          <w:caps w:val="0"/>
          <w:color w:val="141414"/>
          <w:spacing w:val="0"/>
          <w:kern w:val="0"/>
          <w:sz w:val="28"/>
          <w:szCs w:val="28"/>
          <w:shd w:val="clear" w:fill="FFFFFF"/>
          <w:lang w:val="en-US" w:eastAsia="zh-CN" w:bidi="ar"/>
        </w:rPr>
        <w:t>15</w:t>
      </w:r>
      <w:r>
        <w:rPr>
          <w:rFonts w:hint="eastAsia" w:ascii="宋体" w:hAnsi="宋体" w:eastAsia="宋体" w:cs="宋体"/>
          <w:i w:val="0"/>
          <w:caps w:val="0"/>
          <w:color w:val="141414"/>
          <w:spacing w:val="0"/>
          <w:kern w:val="0"/>
          <w:sz w:val="28"/>
          <w:szCs w:val="28"/>
          <w:shd w:val="clear" w:fill="FFFFFF"/>
          <w:lang w:val="en-US" w:eastAsia="zh-CN" w:bidi="ar"/>
        </w:rPr>
        <w:t>日前上报，以后年度计划目标请于当年</w:t>
      </w:r>
      <w:r>
        <w:rPr>
          <w:rFonts w:hint="default" w:ascii="宋体" w:hAnsi="宋体" w:eastAsia="宋体" w:cs="宋体"/>
          <w:i w:val="0"/>
          <w:caps w:val="0"/>
          <w:color w:val="141414"/>
          <w:spacing w:val="0"/>
          <w:kern w:val="0"/>
          <w:sz w:val="28"/>
          <w:szCs w:val="28"/>
          <w:shd w:val="clear" w:fill="FFFFFF"/>
          <w:lang w:val="en-US" w:eastAsia="zh-CN" w:bidi="ar"/>
        </w:rPr>
        <w:t>1</w:t>
      </w:r>
      <w:r>
        <w:rPr>
          <w:rFonts w:hint="eastAsia" w:ascii="宋体" w:hAnsi="宋体" w:eastAsia="宋体" w:cs="宋体"/>
          <w:i w:val="0"/>
          <w:caps w:val="0"/>
          <w:color w:val="141414"/>
          <w:spacing w:val="0"/>
          <w:kern w:val="0"/>
          <w:sz w:val="28"/>
          <w:szCs w:val="28"/>
          <w:shd w:val="clear" w:fill="FFFFFF"/>
          <w:lang w:val="en-US" w:eastAsia="zh-CN" w:bidi="ar"/>
        </w:rPr>
        <w:t>月底前上报。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联系人及电话：雷伟生，0871—</w:t>
      </w:r>
      <w:r>
        <w:rPr>
          <w:rFonts w:hint="default" w:ascii="宋体" w:hAnsi="宋体" w:eastAsia="宋体" w:cs="宋体"/>
          <w:i w:val="0"/>
          <w:caps w:val="0"/>
          <w:color w:val="141414"/>
          <w:spacing w:val="0"/>
          <w:kern w:val="0"/>
          <w:sz w:val="28"/>
          <w:szCs w:val="28"/>
          <w:shd w:val="clear" w:fill="FFFFFF"/>
          <w:lang w:val="en-US" w:eastAsia="zh-CN" w:bidi="ar"/>
        </w:rPr>
        <w:t>64321973</w:t>
      </w:r>
      <w:r>
        <w:rPr>
          <w:rFonts w:hint="eastAsia" w:ascii="宋体" w:hAnsi="宋体" w:eastAsia="宋体" w:cs="宋体"/>
          <w:i w:val="0"/>
          <w:caps w:val="0"/>
          <w:color w:val="141414"/>
          <w:spacing w:val="0"/>
          <w:kern w:val="0"/>
          <w:sz w:val="28"/>
          <w:szCs w:val="28"/>
          <w:shd w:val="clear" w:fill="FFFFFF"/>
          <w:lang w:val="en-US" w:eastAsia="zh-CN" w:bidi="ar"/>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                           </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                        云南省住房和城乡建设厅</w:t>
      </w:r>
    </w:p>
    <w:p>
      <w:pPr>
        <w:keepNext w:val="0"/>
        <w:keepLines w:val="0"/>
        <w:pageBreakBefore w:val="0"/>
        <w:widowControl w:val="0"/>
        <w:kinsoku/>
        <w:wordWrap/>
        <w:overflowPunct/>
        <w:topLinePunct w:val="0"/>
        <w:autoSpaceDE/>
        <w:autoSpaceDN/>
        <w:bidi w:val="0"/>
        <w:adjustRightInd/>
        <w:snapToGrid/>
        <w:spacing w:line="500" w:lineRule="exact"/>
        <w:ind w:firstLine="840" w:firstLineChars="300"/>
        <w:jc w:val="both"/>
        <w:textAlignment w:val="auto"/>
        <w:rPr>
          <w:rFonts w:hint="default" w:ascii="Times New Roman" w:hAnsi="Times New Roman" w:cs="Times New Roman"/>
          <w:i w:val="0"/>
          <w:iCs w:val="0"/>
          <w:caps w:val="0"/>
          <w:color w:val="555555"/>
          <w:spacing w:val="0"/>
          <w:sz w:val="21"/>
          <w:szCs w:val="21"/>
        </w:rPr>
      </w:pPr>
      <w:r>
        <w:rPr>
          <w:rFonts w:hint="eastAsia" w:ascii="宋体" w:hAnsi="宋体" w:eastAsia="宋体" w:cs="宋体"/>
          <w:i w:val="0"/>
          <w:caps w:val="0"/>
          <w:color w:val="141414"/>
          <w:spacing w:val="0"/>
          <w:kern w:val="0"/>
          <w:sz w:val="28"/>
          <w:szCs w:val="28"/>
          <w:shd w:val="clear" w:fill="FFFFFF"/>
          <w:lang w:val="en-US" w:eastAsia="zh-CN" w:bidi="ar"/>
        </w:rPr>
        <w:t>              2021年</w:t>
      </w:r>
      <w:r>
        <w:rPr>
          <w:rFonts w:hint="default" w:ascii="宋体" w:hAnsi="宋体" w:eastAsia="宋体" w:cs="宋体"/>
          <w:i w:val="0"/>
          <w:caps w:val="0"/>
          <w:color w:val="141414"/>
          <w:spacing w:val="0"/>
          <w:kern w:val="0"/>
          <w:sz w:val="28"/>
          <w:szCs w:val="28"/>
          <w:shd w:val="clear" w:fill="FFFFFF"/>
          <w:lang w:val="en-US" w:eastAsia="zh-CN" w:bidi="ar"/>
        </w:rPr>
        <w:t>3</w:t>
      </w:r>
      <w:r>
        <w:rPr>
          <w:rFonts w:hint="eastAsia" w:ascii="宋体" w:hAnsi="宋体" w:eastAsia="宋体" w:cs="宋体"/>
          <w:i w:val="0"/>
          <w:caps w:val="0"/>
          <w:color w:val="141414"/>
          <w:spacing w:val="0"/>
          <w:kern w:val="0"/>
          <w:sz w:val="28"/>
          <w:szCs w:val="28"/>
          <w:shd w:val="clear" w:fill="FFFFFF"/>
          <w:lang w:val="en-US" w:eastAsia="zh-CN" w:bidi="ar"/>
        </w:rPr>
        <w:t>月</w:t>
      </w:r>
      <w:r>
        <w:rPr>
          <w:rFonts w:hint="default" w:ascii="宋体" w:hAnsi="宋体" w:eastAsia="宋体" w:cs="宋体"/>
          <w:i w:val="0"/>
          <w:caps w:val="0"/>
          <w:color w:val="141414"/>
          <w:spacing w:val="0"/>
          <w:kern w:val="0"/>
          <w:sz w:val="28"/>
          <w:szCs w:val="28"/>
          <w:shd w:val="clear" w:fill="FFFFFF"/>
          <w:lang w:val="en-US" w:eastAsia="zh-CN" w:bidi="ar"/>
        </w:rPr>
        <w:t>30</w:t>
      </w:r>
      <w:r>
        <w:rPr>
          <w:rFonts w:hint="eastAsia" w:ascii="宋体" w:hAnsi="宋体" w:eastAsia="宋体" w:cs="宋体"/>
          <w:i w:val="0"/>
          <w:caps w:val="0"/>
          <w:color w:val="141414"/>
          <w:spacing w:val="0"/>
          <w:kern w:val="0"/>
          <w:sz w:val="28"/>
          <w:szCs w:val="28"/>
          <w:shd w:val="clear" w:fill="FFFFFF"/>
          <w:lang w:val="en-US" w:eastAsia="zh-CN" w:bidi="ar"/>
        </w:rPr>
        <w:t>日 </w:t>
      </w:r>
      <w:r>
        <w:rPr>
          <w:rFonts w:hint="eastAsia" w:ascii="仿宋" w:hAnsi="仿宋" w:eastAsia="仿宋" w:cs="仿宋"/>
          <w:b w:val="0"/>
          <w:bCs w:val="0"/>
          <w:i w:val="0"/>
          <w:iCs w:val="0"/>
          <w:caps w:val="0"/>
          <w:color w:val="555555"/>
          <w:spacing w:val="0"/>
          <w:sz w:val="32"/>
          <w:szCs w:val="32"/>
          <w:bdr w:val="none" w:color="auto" w:sz="0" w:space="0"/>
          <w:shd w:val="clear" w:fill="FFFFFF"/>
        </w:rPr>
        <w:t>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9210AB"/>
    <w:rsid w:val="499210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2021-04-20T01:37:00Z</dcterms:created>
  <dc:creator>Lychee</dc:creator>
  <cp:lastModifiedBy>Lychee</cp:lastModifiedBy>
  <dcterms:modified xsi:type="dcterms:W3CDTF">2021-04-20T01:40:15Z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6F3EB4ABFC094291954E0E0106B0B3C9</vt:lpwstr>
  </property>
</Properties>
</file>