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eastAsia="仿宋_GB2312"/>
          <w:sz w:val="32"/>
          <w:szCs w:val="32"/>
          <w:highlight w:val="none"/>
        </w:rPr>
      </w:pPr>
      <w:bookmarkStart w:id="0" w:name="_GoBack"/>
    </w:p>
    <w:p>
      <w:pPr>
        <w:spacing w:after="156" w:afterLines="50" w:line="600" w:lineRule="exact"/>
        <w:jc w:val="center"/>
        <w:rPr>
          <w:rFonts w:ascii="方正小标宋简体" w:eastAsia="方正小标宋简体"/>
          <w:sz w:val="40"/>
          <w:szCs w:val="44"/>
          <w:highlight w:val="none"/>
        </w:rPr>
      </w:pPr>
      <w:r>
        <w:rPr>
          <w:rFonts w:hint="eastAsia" w:ascii="方正小标宋简体" w:eastAsia="方正小标宋简体"/>
          <w:sz w:val="40"/>
          <w:szCs w:val="44"/>
          <w:highlight w:val="none"/>
        </w:rPr>
        <w:t>北京市房屋建筑和市政基础设施工程智慧工地做法认定关键点（征求意见稿）</w:t>
      </w:r>
    </w:p>
    <w:tbl>
      <w:tblPr>
        <w:tblStyle w:val="7"/>
        <w:tblW w:w="138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4"/>
        <w:gridCol w:w="1276"/>
        <w:gridCol w:w="3353"/>
        <w:gridCol w:w="5669"/>
        <w:gridCol w:w="28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tblHeader/>
          <w:jc w:val="center"/>
        </w:trPr>
        <w:tc>
          <w:tcPr>
            <w:tcW w:w="724" w:type="dxa"/>
            <w:shd w:val="clear" w:color="auto" w:fill="auto"/>
            <w:vAlign w:val="center"/>
          </w:tcPr>
          <w:p>
            <w:pPr>
              <w:widowControl/>
              <w:jc w:val="center"/>
              <w:rPr>
                <w:rFonts w:eastAsia="仿宋_GB2312" w:cs="宋体"/>
                <w:b/>
                <w:bCs/>
                <w:color w:val="000000"/>
                <w:kern w:val="0"/>
                <w:sz w:val="24"/>
                <w:highlight w:val="none"/>
              </w:rPr>
            </w:pPr>
            <w:r>
              <w:rPr>
                <w:rFonts w:hint="eastAsia" w:eastAsia="仿宋_GB2312" w:cs="宋体"/>
                <w:b/>
                <w:bCs/>
                <w:color w:val="000000"/>
                <w:kern w:val="0"/>
                <w:sz w:val="24"/>
                <w:highlight w:val="none"/>
              </w:rPr>
              <w:t>序号</w:t>
            </w:r>
          </w:p>
        </w:tc>
        <w:tc>
          <w:tcPr>
            <w:tcW w:w="1276" w:type="dxa"/>
            <w:shd w:val="clear" w:color="auto" w:fill="auto"/>
            <w:vAlign w:val="center"/>
          </w:tcPr>
          <w:p>
            <w:pPr>
              <w:widowControl/>
              <w:jc w:val="center"/>
              <w:rPr>
                <w:rFonts w:eastAsia="仿宋_GB2312" w:cs="宋体"/>
                <w:b/>
                <w:bCs/>
                <w:color w:val="000000"/>
                <w:kern w:val="0"/>
                <w:sz w:val="24"/>
                <w:highlight w:val="none"/>
              </w:rPr>
            </w:pPr>
            <w:r>
              <w:rPr>
                <w:rFonts w:hint="eastAsia" w:eastAsia="仿宋_GB2312" w:cs="宋体"/>
                <w:b/>
                <w:bCs/>
                <w:color w:val="000000"/>
                <w:kern w:val="0"/>
                <w:sz w:val="24"/>
                <w:highlight w:val="none"/>
              </w:rPr>
              <w:t>类别</w:t>
            </w:r>
          </w:p>
        </w:tc>
        <w:tc>
          <w:tcPr>
            <w:tcW w:w="3353" w:type="dxa"/>
            <w:shd w:val="clear" w:color="auto" w:fill="auto"/>
            <w:vAlign w:val="center"/>
          </w:tcPr>
          <w:p>
            <w:pPr>
              <w:widowControl/>
              <w:jc w:val="center"/>
              <w:rPr>
                <w:rFonts w:eastAsia="仿宋_GB2312" w:cs="宋体"/>
                <w:b/>
                <w:bCs/>
                <w:color w:val="000000"/>
                <w:kern w:val="0"/>
                <w:sz w:val="24"/>
                <w:highlight w:val="none"/>
              </w:rPr>
            </w:pPr>
            <w:r>
              <w:rPr>
                <w:rFonts w:hint="eastAsia" w:eastAsia="仿宋_GB2312" w:cs="宋体"/>
                <w:b/>
                <w:bCs/>
                <w:color w:val="000000"/>
                <w:kern w:val="0"/>
                <w:sz w:val="24"/>
                <w:highlight w:val="none"/>
              </w:rPr>
              <w:t>智慧工地做法</w:t>
            </w:r>
          </w:p>
        </w:tc>
        <w:tc>
          <w:tcPr>
            <w:tcW w:w="5669" w:type="dxa"/>
            <w:shd w:val="clear" w:color="auto" w:fill="auto"/>
            <w:vAlign w:val="center"/>
          </w:tcPr>
          <w:p>
            <w:pPr>
              <w:widowControl/>
              <w:jc w:val="center"/>
              <w:rPr>
                <w:rFonts w:eastAsia="仿宋_GB2312" w:cs="宋体"/>
                <w:b/>
                <w:bCs/>
                <w:kern w:val="0"/>
                <w:sz w:val="24"/>
                <w:highlight w:val="none"/>
              </w:rPr>
            </w:pPr>
            <w:r>
              <w:rPr>
                <w:rFonts w:hint="eastAsia" w:eastAsia="仿宋_GB2312" w:cs="宋体"/>
                <w:b/>
                <w:bCs/>
                <w:kern w:val="0"/>
                <w:sz w:val="24"/>
                <w:highlight w:val="none"/>
              </w:rPr>
              <w:t>认定关键点</w:t>
            </w:r>
          </w:p>
        </w:tc>
        <w:tc>
          <w:tcPr>
            <w:tcW w:w="2837" w:type="dxa"/>
            <w:vAlign w:val="center"/>
          </w:tcPr>
          <w:p>
            <w:pPr>
              <w:widowControl/>
              <w:jc w:val="center"/>
              <w:rPr>
                <w:rFonts w:eastAsia="仿宋_GB2312" w:cs="宋体"/>
                <w:b/>
                <w:bCs/>
                <w:kern w:val="0"/>
                <w:sz w:val="24"/>
                <w:highlight w:val="none"/>
              </w:rPr>
            </w:pPr>
            <w:r>
              <w:rPr>
                <w:rFonts w:hint="eastAsia" w:eastAsia="仿宋_GB2312" w:cs="宋体"/>
                <w:b/>
                <w:bCs/>
                <w:kern w:val="0"/>
                <w:sz w:val="24"/>
                <w:highlight w:val="none"/>
              </w:rPr>
              <w:t>鼓励加分分值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jc w:val="center"/>
        </w:trPr>
        <w:tc>
          <w:tcPr>
            <w:tcW w:w="724" w:type="dxa"/>
            <w:shd w:val="clear" w:color="000000" w:fill="FFFFFF"/>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w:t>
            </w:r>
          </w:p>
        </w:tc>
        <w:tc>
          <w:tcPr>
            <w:tcW w:w="1276" w:type="dxa"/>
            <w:vMerge w:val="restart"/>
            <w:shd w:val="clear" w:color="auto" w:fill="auto"/>
            <w:vAlign w:val="center"/>
          </w:tcPr>
          <w:p>
            <w:pPr>
              <w:widowControl/>
              <w:jc w:val="center"/>
              <w:rPr>
                <w:rFonts w:eastAsia="仿宋_GB2312" w:cs="宋体"/>
                <w:bCs/>
                <w:color w:val="000000"/>
                <w:kern w:val="0"/>
                <w:sz w:val="24"/>
                <w:highlight w:val="none"/>
              </w:rPr>
            </w:pPr>
            <w:r>
              <w:rPr>
                <w:rFonts w:hint="eastAsia" w:eastAsia="仿宋_GB2312" w:cs="宋体"/>
                <w:bCs/>
                <w:color w:val="000000"/>
                <w:kern w:val="0"/>
                <w:sz w:val="24"/>
                <w:highlight w:val="none"/>
              </w:rPr>
              <w:t>智慧管理</w:t>
            </w:r>
          </w:p>
        </w:tc>
        <w:tc>
          <w:tcPr>
            <w:tcW w:w="3353" w:type="dxa"/>
            <w:shd w:val="clear" w:color="000000" w:fill="FFFFFF"/>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 xml:space="preserve">项目安装并使用智慧管理信息系统的 </w:t>
            </w:r>
          </w:p>
        </w:tc>
        <w:tc>
          <w:tcPr>
            <w:tcW w:w="5669" w:type="dxa"/>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项目有人员、机械设备、物料、环境与能耗、视频监控、质量安全、进度、塔吊监测、基坑监测</w:t>
            </w:r>
            <w:r>
              <w:rPr>
                <w:rFonts w:hint="eastAsia" w:eastAsia="仿宋_GB2312" w:cs="宋体"/>
                <w:kern w:val="0"/>
                <w:sz w:val="24"/>
                <w:highlight w:val="none"/>
              </w:rPr>
              <w:t>等至少3项智慧管理信息系统</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2</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项目对多项科技创新手段运用集成技术实行综合智慧管理的</w:t>
            </w:r>
          </w:p>
        </w:tc>
        <w:tc>
          <w:tcPr>
            <w:tcW w:w="5669" w:type="dxa"/>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项目至少对人员、机械设备、物料、环境与能耗、视频监控、质量安全、进度、塔吊监测、基坑监测管理中的至少3项进行集成管理</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3</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施工现场采用</w:t>
            </w:r>
            <w:r>
              <w:rPr>
                <w:rFonts w:hint="eastAsia" w:eastAsia="仿宋_GB2312" w:cs="宋体"/>
                <w:color w:val="000000"/>
                <w:kern w:val="0"/>
                <w:sz w:val="24"/>
                <w:highlight w:val="none"/>
              </w:rPr>
              <w:t>可视化管理</w:t>
            </w:r>
            <w:r>
              <w:rPr>
                <w:rFonts w:hint="eastAsia" w:eastAsia="仿宋_GB2312" w:cs="宋体"/>
                <w:color w:val="000000"/>
                <w:kern w:val="0"/>
                <w:sz w:val="24"/>
                <w:highlight w:val="none"/>
              </w:rPr>
              <w:t>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项目可通过视频监控设备对施工作业面、大门、洗车池、材料堆放区等至少3个关键区域进行实时查看和记录</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4</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应用手机app实施风险管控</w:t>
            </w:r>
            <w:r>
              <w:rPr>
                <w:rFonts w:hint="eastAsia" w:eastAsia="仿宋_GB2312" w:cs="宋体"/>
                <w:color w:val="000000"/>
                <w:kern w:val="0"/>
                <w:sz w:val="24"/>
                <w:highlight w:val="none"/>
              </w:rPr>
              <w:t>和隐患排查的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项目使用APP对人员、机械设备、物料、环境与能耗、视频监控、质量安全、进度、塔吊监测、基坑监测等至少5项以上智慧管理</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1"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5</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地铁盾构施工应用实时管理系统的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安装使用地下盾构监控系统</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4"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6</w:t>
            </w:r>
          </w:p>
        </w:tc>
        <w:tc>
          <w:tcPr>
            <w:tcW w:w="1276" w:type="dxa"/>
            <w:vMerge w:val="restart"/>
            <w:shd w:val="clear" w:color="auto" w:fill="auto"/>
            <w:vAlign w:val="center"/>
          </w:tcPr>
          <w:p>
            <w:pPr>
              <w:jc w:val="center"/>
              <w:rPr>
                <w:rFonts w:eastAsia="仿宋_GB2312" w:cs="宋体"/>
                <w:b/>
                <w:bCs/>
                <w:color w:val="000000"/>
                <w:kern w:val="0"/>
                <w:sz w:val="24"/>
                <w:highlight w:val="none"/>
              </w:rPr>
            </w:pPr>
            <w:r>
              <w:rPr>
                <w:rFonts w:hint="eastAsia" w:eastAsia="仿宋_GB2312" w:cs="宋体"/>
                <w:bCs/>
                <w:color w:val="000000"/>
                <w:kern w:val="0"/>
                <w:sz w:val="24"/>
                <w:highlight w:val="none"/>
              </w:rPr>
              <w:t>智慧管理</w:t>
            </w: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施工现场安装人脸（虹膜或其他生物特征）识别设备采集人员在岗信息的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施工现场安装、使用人脸识别设备</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7</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 xml:space="preserve">施工现场采用实名制管理信息采集进场人员信息的 </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现场人员与设备采集信息一致</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4"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8</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实行工程施工资料电子化管理的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满足其一即可：</w:t>
            </w:r>
            <w:r>
              <w:rPr>
                <w:rFonts w:hint="eastAsia" w:eastAsia="仿宋_GB2312" w:cs="宋体"/>
                <w:kern w:val="0"/>
                <w:sz w:val="24"/>
                <w:highlight w:val="none"/>
              </w:rPr>
              <w:t>1、项目应用工程施工资料电子化系统，并将电子化施工资料推送至北京市建设工程档案资料数字化管理系统。2、工程验收资料数字化存储并与BIM模型关联。</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9</w:t>
            </w:r>
          </w:p>
        </w:tc>
        <w:tc>
          <w:tcPr>
            <w:tcW w:w="1276" w:type="dxa"/>
            <w:vMerge w:val="continue"/>
            <w:vAlign w:val="center"/>
          </w:tcPr>
          <w:p>
            <w:pPr>
              <w:jc w:val="center"/>
              <w:rPr>
                <w:rFonts w:eastAsia="仿宋_GB2312" w:cs="宋体"/>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采用物联网、大数据、BIM组织施工的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项目创建BIM模型，并在施工过程中应用BIM+大数据、物联网、云计算、人工智能等信息技术组织施工</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10</w:t>
            </w:r>
          </w:p>
        </w:tc>
        <w:tc>
          <w:tcPr>
            <w:tcW w:w="1276" w:type="dxa"/>
            <w:vMerge w:val="continue"/>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建立技术标准、规范数据库的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项目建立了技术标准的电子档案数据库</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1"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11</w:t>
            </w:r>
          </w:p>
        </w:tc>
        <w:tc>
          <w:tcPr>
            <w:tcW w:w="1276" w:type="dxa"/>
            <w:vMerge w:val="continue"/>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工程关键工序采取</w:t>
            </w:r>
            <w:r>
              <w:rPr>
                <w:rFonts w:hint="eastAsia" w:eastAsia="仿宋_GB2312" w:cs="宋体"/>
                <w:color w:val="000000"/>
                <w:kern w:val="0"/>
                <w:sz w:val="24"/>
                <w:highlight w:val="none"/>
              </w:rPr>
              <w:t>可视化追溯管理的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项目对混凝土浇筑、混凝土取样、制样及送样、土方回填、防水工程和外墙保温工程等关键工序的可视化追溯管理，满足《北京市住房和城乡建设委员会关于加强工程质量影像追溯管理的通知》（京建发〔2021〕29号）中“一、加强工程质量影像追溯管理（二）加强对施工过程的追溯管理”规定要求。</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12</w:t>
            </w:r>
          </w:p>
        </w:tc>
        <w:tc>
          <w:tcPr>
            <w:tcW w:w="1276" w:type="dxa"/>
            <w:vMerge w:val="restart"/>
            <w:vAlign w:val="center"/>
          </w:tcPr>
          <w:p>
            <w:pPr>
              <w:jc w:val="center"/>
              <w:rPr>
                <w:rFonts w:eastAsia="仿宋_GB2312" w:cs="宋体"/>
                <w:b/>
                <w:bCs/>
                <w:color w:val="000000"/>
                <w:kern w:val="0"/>
                <w:sz w:val="24"/>
                <w:highlight w:val="none"/>
              </w:rPr>
            </w:pPr>
            <w:r>
              <w:rPr>
                <w:rFonts w:hint="eastAsia" w:eastAsia="仿宋_GB2312" w:cs="宋体"/>
                <w:bCs/>
                <w:color w:val="000000"/>
                <w:kern w:val="0"/>
                <w:sz w:val="24"/>
                <w:highlight w:val="none"/>
              </w:rPr>
              <w:t>智慧管理</w:t>
            </w: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现场问题及隐患采取自动识别智慧管理的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项目对人员穿戴安全帽、安全带、防护服、人员进入危险区域、现场明火、人人员吸烟等现场问题至少4项进行自动识别</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9"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13</w:t>
            </w:r>
          </w:p>
        </w:tc>
        <w:tc>
          <w:tcPr>
            <w:tcW w:w="1276" w:type="dxa"/>
            <w:vMerge w:val="continue"/>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工程使用的物资材料采取可追溯智慧管理的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满足其一即可：</w:t>
            </w:r>
            <w:r>
              <w:rPr>
                <w:rFonts w:hint="eastAsia" w:eastAsia="仿宋_GB2312" w:cs="宋体"/>
                <w:kern w:val="0"/>
                <w:sz w:val="24"/>
                <w:highlight w:val="none"/>
              </w:rPr>
              <w:br w:type="textWrapping"/>
            </w:r>
            <w:r>
              <w:rPr>
                <w:rFonts w:hint="eastAsia" w:eastAsia="仿宋_GB2312" w:cs="宋体"/>
                <w:kern w:val="0"/>
                <w:sz w:val="24"/>
                <w:highlight w:val="none"/>
              </w:rPr>
              <w:t>1、现场出入口安装、使用智能地磅；</w:t>
            </w:r>
            <w:r>
              <w:rPr>
                <w:rFonts w:hint="eastAsia" w:eastAsia="仿宋_GB2312" w:cs="宋体"/>
                <w:kern w:val="0"/>
                <w:sz w:val="24"/>
                <w:highlight w:val="none"/>
              </w:rPr>
              <w:br w:type="textWrapping"/>
            </w:r>
            <w:r>
              <w:rPr>
                <w:rFonts w:hint="eastAsia" w:eastAsia="仿宋_GB2312" w:cs="宋体"/>
                <w:kern w:val="0"/>
                <w:sz w:val="24"/>
                <w:highlight w:val="none"/>
              </w:rPr>
              <w:t>2、工程的防水材料、保温材料、砌块、砂浆、钢筋等影响结构安全或主要使用功能的至少3类材料采用二维码或射频芯片等技术，实现生产厂家、质量检验等数据全链条可追溯管理</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14</w:t>
            </w:r>
          </w:p>
        </w:tc>
        <w:tc>
          <w:tcPr>
            <w:tcW w:w="1276" w:type="dxa"/>
            <w:vMerge w:val="continue"/>
            <w:vAlign w:val="center"/>
          </w:tcPr>
          <w:p>
            <w:pPr>
              <w:widowControl/>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工程质量检测采用智慧管理手段的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项目采用三维激光扫描仪、智能靠尺、智能角尺、智能回弹检测仪、智能水平仪等至少1项智能设备进行工程质量检测</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15</w:t>
            </w:r>
          </w:p>
        </w:tc>
        <w:tc>
          <w:tcPr>
            <w:tcW w:w="1276" w:type="dxa"/>
            <w:vMerge w:val="continue"/>
            <w:vAlign w:val="center"/>
          </w:tcPr>
          <w:p>
            <w:pPr>
              <w:widowControl/>
              <w:jc w:val="left"/>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能够提供建筑物可视化使用说明的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项目可以提供建筑物三维可视化模型，或采用倾斜摄影技术、且模型中含有使用说明信息。</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16</w:t>
            </w:r>
          </w:p>
        </w:tc>
        <w:tc>
          <w:tcPr>
            <w:tcW w:w="1276" w:type="dxa"/>
            <w:vMerge w:val="continue"/>
            <w:vAlign w:val="center"/>
          </w:tcPr>
          <w:p>
            <w:pPr>
              <w:widowControl/>
              <w:jc w:val="left"/>
              <w:rPr>
                <w:rFonts w:eastAsia="仿宋_GB2312" w:cs="宋体"/>
                <w:b/>
                <w:bCs/>
                <w:color w:val="000000"/>
                <w:kern w:val="0"/>
                <w:sz w:val="24"/>
                <w:highlight w:val="none"/>
              </w:rPr>
            </w:pPr>
          </w:p>
        </w:tc>
        <w:tc>
          <w:tcPr>
            <w:tcW w:w="3353" w:type="dxa"/>
            <w:vMerge w:val="restart"/>
            <w:shd w:val="clear" w:color="auto" w:fill="auto"/>
            <w:vAlign w:val="center"/>
          </w:tcPr>
          <w:p>
            <w:pPr>
              <w:widowControl/>
              <w:jc w:val="left"/>
              <w:rPr>
                <w:rFonts w:eastAsia="仿宋_GB2312" w:cs="宋体"/>
                <w:color w:val="000000"/>
                <w:kern w:val="0"/>
                <w:sz w:val="24"/>
                <w:highlight w:val="none"/>
              </w:rPr>
            </w:pPr>
            <w:r>
              <w:rPr>
                <w:rFonts w:hint="eastAsia" w:eastAsia="仿宋_GB2312"/>
                <w:sz w:val="24"/>
                <w:highlight w:val="none"/>
              </w:rPr>
              <w:t>实施其他智慧管理做法的</w:t>
            </w:r>
          </w:p>
        </w:tc>
        <w:tc>
          <w:tcPr>
            <w:tcW w:w="5669" w:type="dxa"/>
            <w:vMerge w:val="restart"/>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参建单位结合国家及本市相关管理文件和技术标准予以确认</w:t>
            </w:r>
          </w:p>
        </w:tc>
        <w:tc>
          <w:tcPr>
            <w:tcW w:w="2837" w:type="dxa"/>
            <w:vMerge w:val="restart"/>
            <w:vAlign w:val="center"/>
          </w:tcPr>
          <w:p>
            <w:pPr>
              <w:spacing w:line="300" w:lineRule="exact"/>
              <w:jc w:val="center"/>
              <w:rPr>
                <w:rFonts w:eastAsia="仿宋_GB2312"/>
                <w:sz w:val="24"/>
                <w:highlight w:val="none"/>
              </w:rPr>
            </w:pPr>
            <w:r>
              <w:rPr>
                <w:rFonts w:hint="eastAsia" w:eastAsia="仿宋_GB2312"/>
                <w:sz w:val="24"/>
                <w:highlight w:val="none"/>
              </w:rPr>
              <w:t>每增加1条并经审核通过的，加0.5分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17</w:t>
            </w:r>
          </w:p>
        </w:tc>
        <w:tc>
          <w:tcPr>
            <w:tcW w:w="1276" w:type="dxa"/>
            <w:vMerge w:val="continue"/>
            <w:vAlign w:val="center"/>
          </w:tcPr>
          <w:p>
            <w:pPr>
              <w:widowControl/>
              <w:jc w:val="left"/>
              <w:rPr>
                <w:rFonts w:eastAsia="仿宋_GB2312" w:cs="宋体"/>
                <w:b/>
                <w:bCs/>
                <w:color w:val="000000"/>
                <w:kern w:val="0"/>
                <w:sz w:val="24"/>
                <w:highlight w:val="none"/>
              </w:rPr>
            </w:pPr>
          </w:p>
        </w:tc>
        <w:tc>
          <w:tcPr>
            <w:tcW w:w="3353" w:type="dxa"/>
            <w:vMerge w:val="continue"/>
            <w:shd w:val="clear" w:color="auto" w:fill="auto"/>
            <w:vAlign w:val="center"/>
          </w:tcPr>
          <w:p>
            <w:pPr>
              <w:widowControl/>
              <w:jc w:val="left"/>
              <w:rPr>
                <w:rFonts w:eastAsia="仿宋_GB2312" w:cs="宋体"/>
                <w:color w:val="000000"/>
                <w:kern w:val="0"/>
                <w:sz w:val="24"/>
                <w:highlight w:val="none"/>
              </w:rPr>
            </w:pPr>
          </w:p>
        </w:tc>
        <w:tc>
          <w:tcPr>
            <w:tcW w:w="5669" w:type="dxa"/>
            <w:vMerge w:val="continue"/>
            <w:shd w:val="clear" w:color="auto" w:fill="auto"/>
            <w:vAlign w:val="center"/>
          </w:tcPr>
          <w:p>
            <w:pPr>
              <w:widowControl/>
              <w:jc w:val="left"/>
              <w:rPr>
                <w:rFonts w:eastAsia="仿宋_GB2312" w:cs="宋体"/>
                <w:kern w:val="0"/>
                <w:sz w:val="24"/>
                <w:highlight w:val="none"/>
              </w:rPr>
            </w:pPr>
          </w:p>
        </w:tc>
        <w:tc>
          <w:tcPr>
            <w:tcW w:w="2837" w:type="dxa"/>
            <w:vMerge w:val="continue"/>
          </w:tcPr>
          <w:p>
            <w:pPr>
              <w:spacing w:line="300" w:lineRule="exact"/>
              <w:jc w:val="left"/>
              <w:rPr>
                <w:rFonts w:eastAsia="仿宋_GB2312"/>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jc w:val="center"/>
        </w:trPr>
        <w:tc>
          <w:tcPr>
            <w:tcW w:w="724" w:type="dxa"/>
            <w:shd w:val="clear" w:color="auto" w:fill="auto"/>
            <w:vAlign w:val="center"/>
          </w:tcPr>
          <w:p>
            <w:pPr>
              <w:spacing w:line="100" w:lineRule="exact"/>
              <w:jc w:val="center"/>
              <w:rPr>
                <w:rFonts w:eastAsia="仿宋_GB2312"/>
                <w:sz w:val="24"/>
                <w:highlight w:val="none"/>
              </w:rPr>
            </w:pPr>
            <w:r>
              <w:rPr>
                <w:rFonts w:hint="eastAsia" w:eastAsia="仿宋_GB2312"/>
                <w:sz w:val="24"/>
                <w:highlight w:val="none"/>
              </w:rPr>
              <w:t>.</w:t>
            </w:r>
          </w:p>
          <w:p>
            <w:pPr>
              <w:spacing w:line="100" w:lineRule="exact"/>
              <w:jc w:val="center"/>
              <w:rPr>
                <w:rFonts w:eastAsia="仿宋_GB2312"/>
                <w:sz w:val="24"/>
                <w:highlight w:val="none"/>
              </w:rPr>
            </w:pPr>
            <w:r>
              <w:rPr>
                <w:rFonts w:hint="eastAsia" w:eastAsia="仿宋_GB2312"/>
                <w:sz w:val="24"/>
                <w:highlight w:val="none"/>
              </w:rPr>
              <w:t>.</w:t>
            </w:r>
          </w:p>
          <w:p>
            <w:pPr>
              <w:widowControl/>
              <w:jc w:val="center"/>
              <w:rPr>
                <w:rFonts w:eastAsia="仿宋_GB2312" w:cs="宋体"/>
                <w:color w:val="000000"/>
                <w:kern w:val="0"/>
                <w:sz w:val="24"/>
                <w:highlight w:val="none"/>
              </w:rPr>
            </w:pPr>
            <w:r>
              <w:rPr>
                <w:rFonts w:hint="eastAsia" w:eastAsia="仿宋_GB2312"/>
                <w:sz w:val="24"/>
                <w:highlight w:val="none"/>
              </w:rPr>
              <w:t>.</w:t>
            </w:r>
          </w:p>
        </w:tc>
        <w:tc>
          <w:tcPr>
            <w:tcW w:w="1276" w:type="dxa"/>
            <w:vMerge w:val="continue"/>
            <w:vAlign w:val="center"/>
          </w:tcPr>
          <w:p>
            <w:pPr>
              <w:widowControl/>
              <w:jc w:val="left"/>
              <w:rPr>
                <w:rFonts w:eastAsia="仿宋_GB2312" w:cs="宋体"/>
                <w:b/>
                <w:bCs/>
                <w:color w:val="000000"/>
                <w:kern w:val="0"/>
                <w:sz w:val="24"/>
                <w:highlight w:val="none"/>
              </w:rPr>
            </w:pPr>
          </w:p>
        </w:tc>
        <w:tc>
          <w:tcPr>
            <w:tcW w:w="3353" w:type="dxa"/>
            <w:vMerge w:val="continue"/>
            <w:shd w:val="clear" w:color="auto" w:fill="auto"/>
            <w:vAlign w:val="center"/>
          </w:tcPr>
          <w:p>
            <w:pPr>
              <w:widowControl/>
              <w:jc w:val="left"/>
              <w:rPr>
                <w:rFonts w:eastAsia="仿宋_GB2312" w:cs="宋体"/>
                <w:color w:val="000000"/>
                <w:kern w:val="0"/>
                <w:sz w:val="24"/>
                <w:highlight w:val="none"/>
              </w:rPr>
            </w:pPr>
          </w:p>
        </w:tc>
        <w:tc>
          <w:tcPr>
            <w:tcW w:w="5669" w:type="dxa"/>
            <w:vMerge w:val="continue"/>
            <w:shd w:val="clear" w:color="auto" w:fill="auto"/>
            <w:vAlign w:val="center"/>
          </w:tcPr>
          <w:p>
            <w:pPr>
              <w:widowControl/>
              <w:jc w:val="left"/>
              <w:rPr>
                <w:rFonts w:eastAsia="仿宋_GB2312" w:cs="宋体"/>
                <w:kern w:val="0"/>
                <w:sz w:val="24"/>
                <w:highlight w:val="none"/>
              </w:rPr>
            </w:pPr>
          </w:p>
        </w:tc>
        <w:tc>
          <w:tcPr>
            <w:tcW w:w="2837" w:type="dxa"/>
            <w:vMerge w:val="continue"/>
          </w:tcPr>
          <w:p>
            <w:pPr>
              <w:spacing w:line="300" w:lineRule="exact"/>
              <w:jc w:val="left"/>
              <w:rPr>
                <w:rFonts w:eastAsia="仿宋_GB2312"/>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1"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w:t>
            </w:r>
          </w:p>
        </w:tc>
        <w:tc>
          <w:tcPr>
            <w:tcW w:w="1276" w:type="dxa"/>
            <w:vMerge w:val="restart"/>
            <w:shd w:val="clear" w:color="auto" w:fill="auto"/>
            <w:vAlign w:val="center"/>
          </w:tcPr>
          <w:p>
            <w:pPr>
              <w:widowControl/>
              <w:jc w:val="center"/>
              <w:rPr>
                <w:rFonts w:eastAsia="仿宋_GB2312" w:cs="宋体"/>
                <w:bCs/>
                <w:color w:val="000000"/>
                <w:kern w:val="0"/>
                <w:sz w:val="24"/>
                <w:highlight w:val="none"/>
              </w:rPr>
            </w:pPr>
          </w:p>
          <w:p>
            <w:pPr>
              <w:widowControl/>
              <w:jc w:val="center"/>
              <w:rPr>
                <w:rFonts w:eastAsia="仿宋_GB2312" w:cs="宋体"/>
                <w:bCs/>
                <w:color w:val="000000"/>
                <w:kern w:val="0"/>
                <w:sz w:val="24"/>
                <w:highlight w:val="none"/>
              </w:rPr>
            </w:pPr>
            <w:r>
              <w:rPr>
                <w:rFonts w:hint="eastAsia" w:eastAsia="仿宋_GB2312" w:cs="宋体"/>
                <w:bCs/>
                <w:color w:val="000000"/>
                <w:kern w:val="0"/>
                <w:sz w:val="24"/>
                <w:highlight w:val="none"/>
              </w:rPr>
              <w:t>智慧创安</w:t>
            </w:r>
          </w:p>
          <w:p>
            <w:pPr>
              <w:jc w:val="center"/>
              <w:rPr>
                <w:rFonts w:eastAsia="仿宋_GB2312" w:cs="宋体"/>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在用人多的关键环节和重点部位推行“机械化换人、机器人作业、自动化减人”的</w:t>
            </w:r>
          </w:p>
        </w:tc>
        <w:tc>
          <w:tcPr>
            <w:tcW w:w="5669" w:type="dxa"/>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在</w:t>
            </w:r>
            <w:r>
              <w:rPr>
                <w:rFonts w:hint="eastAsia" w:eastAsia="仿宋_GB2312" w:cs="宋体"/>
                <w:kern w:val="0"/>
                <w:sz w:val="24"/>
                <w:highlight w:val="none"/>
              </w:rPr>
              <w:t>现场放样</w:t>
            </w:r>
            <w:r>
              <w:rPr>
                <w:rFonts w:hint="eastAsia" w:eastAsia="仿宋_GB2312" w:cs="宋体"/>
                <w:kern w:val="0"/>
                <w:sz w:val="24"/>
                <w:highlight w:val="none"/>
              </w:rPr>
              <w:t>、钢结构焊接、钢筋自动化加工、抹灰、搬运、混凝土压光、巡检等环节至少应用1项智能装备</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tcBorders>
              <w:bottom w:val="single" w:color="auto" w:sz="4" w:space="0"/>
            </w:tcBorders>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2</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tcBorders>
              <w:bottom w:val="single" w:color="auto" w:sz="4" w:space="0"/>
            </w:tcBorders>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使用多媒体安全培训工具箱的</w:t>
            </w:r>
          </w:p>
        </w:tc>
        <w:tc>
          <w:tcPr>
            <w:tcW w:w="5669" w:type="dxa"/>
            <w:tcBorders>
              <w:bottom w:val="single" w:color="auto" w:sz="4" w:space="0"/>
            </w:tcBorders>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项目采用VR、MR、培训工具箱等至少1项信息化手段进行安全培训、教育</w:t>
            </w:r>
          </w:p>
        </w:tc>
        <w:tc>
          <w:tcPr>
            <w:tcW w:w="2837" w:type="dxa"/>
            <w:tcBorders>
              <w:bottom w:val="single" w:color="auto" w:sz="4" w:space="0"/>
            </w:tcBorders>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tcBorders>
              <w:top w:val="single" w:color="auto" w:sz="4" w:space="0"/>
              <w:left w:val="single" w:color="auto" w:sz="4" w:space="0"/>
              <w:bottom w:val="single" w:color="auto" w:sz="4" w:space="0"/>
            </w:tcBorders>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3</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tcBorders>
              <w:top w:val="single" w:color="auto" w:sz="4" w:space="0"/>
              <w:bottom w:val="single" w:color="auto" w:sz="4" w:space="0"/>
              <w:right w:val="single" w:color="auto" w:sz="4" w:space="0"/>
            </w:tcBorders>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使用无线智能烟感报警系统的</w:t>
            </w:r>
          </w:p>
        </w:tc>
        <w:tc>
          <w:tcPr>
            <w:tcW w:w="5669"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现场或生活区安装、使用无线智能烟感报警装置或自动喷淋系统</w:t>
            </w:r>
          </w:p>
        </w:tc>
        <w:tc>
          <w:tcPr>
            <w:tcW w:w="283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tcBorders>
              <w:top w:val="single" w:color="auto" w:sz="4" w:space="0"/>
              <w:left w:val="single" w:color="auto" w:sz="4" w:space="0"/>
              <w:bottom w:val="single" w:color="auto" w:sz="4" w:space="0"/>
            </w:tcBorders>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4</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tcBorders>
              <w:top w:val="single" w:color="auto" w:sz="4" w:space="0"/>
              <w:bottom w:val="single" w:color="auto" w:sz="4" w:space="0"/>
              <w:right w:val="single" w:color="auto" w:sz="4" w:space="0"/>
            </w:tcBorders>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使用电气火灾监控报警的</w:t>
            </w:r>
          </w:p>
        </w:tc>
        <w:tc>
          <w:tcPr>
            <w:tcW w:w="5669"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项目施工现场、生活区、办公区安装、使用电气火灾监控报警装置</w:t>
            </w:r>
          </w:p>
        </w:tc>
        <w:tc>
          <w:tcPr>
            <w:tcW w:w="283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tcBorders>
              <w:top w:val="single" w:color="auto" w:sz="4" w:space="0"/>
            </w:tcBorders>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5</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tcBorders>
              <w:top w:val="single" w:color="auto" w:sz="4" w:space="0"/>
            </w:tcBorders>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卸料平台安装智慧监测装置的</w:t>
            </w:r>
          </w:p>
        </w:tc>
        <w:tc>
          <w:tcPr>
            <w:tcW w:w="5669" w:type="dxa"/>
            <w:tcBorders>
              <w:top w:val="single" w:color="auto" w:sz="4" w:space="0"/>
            </w:tcBorders>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现场卸料平台全部安装智慧监测报警装置。</w:t>
            </w:r>
          </w:p>
        </w:tc>
        <w:tc>
          <w:tcPr>
            <w:tcW w:w="2837" w:type="dxa"/>
            <w:tcBorders>
              <w:top w:val="single" w:color="auto" w:sz="4" w:space="0"/>
            </w:tcBorders>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6</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施工升降机安装安全监控智能设备的</w:t>
            </w:r>
          </w:p>
        </w:tc>
        <w:tc>
          <w:tcPr>
            <w:tcW w:w="5669" w:type="dxa"/>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现场施工升降机全部安装、使用安全监控报警智能设备，具备驾驶员人脸识别、人员限载数等预警功能</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7</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使用无人驾驶智能化施工升降机的</w:t>
            </w:r>
          </w:p>
        </w:tc>
        <w:tc>
          <w:tcPr>
            <w:tcW w:w="5669" w:type="dxa"/>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现场使用无人驾驶智能化施工升降机，具备智能报警，驾驶室按要求配备安全员（驾驶员）</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8</w:t>
            </w:r>
          </w:p>
        </w:tc>
        <w:tc>
          <w:tcPr>
            <w:tcW w:w="1276" w:type="dxa"/>
            <w:vMerge w:val="restart"/>
            <w:shd w:val="clear" w:color="auto" w:fill="auto"/>
            <w:vAlign w:val="center"/>
          </w:tcPr>
          <w:p>
            <w:pPr>
              <w:widowControl/>
              <w:jc w:val="center"/>
              <w:rPr>
                <w:rFonts w:eastAsia="仿宋_GB2312" w:cs="宋体"/>
                <w:bCs/>
                <w:color w:val="000000"/>
                <w:kern w:val="0"/>
                <w:sz w:val="24"/>
                <w:highlight w:val="none"/>
              </w:rPr>
            </w:pPr>
            <w:r>
              <w:rPr>
                <w:rFonts w:hint="eastAsia" w:eastAsia="仿宋_GB2312" w:cs="宋体"/>
                <w:bCs/>
                <w:color w:val="000000"/>
                <w:kern w:val="0"/>
                <w:sz w:val="24"/>
                <w:highlight w:val="none"/>
              </w:rPr>
              <w:t>智慧创安</w:t>
            </w: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塔式起重机安装安全智能监控装置的</w:t>
            </w:r>
          </w:p>
        </w:tc>
        <w:tc>
          <w:tcPr>
            <w:tcW w:w="5669" w:type="dxa"/>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满足其中之一即可：</w:t>
            </w:r>
            <w:r>
              <w:rPr>
                <w:rFonts w:hint="eastAsia" w:eastAsia="仿宋_GB2312" w:cs="宋体"/>
                <w:kern w:val="0"/>
                <w:sz w:val="24"/>
                <w:highlight w:val="none"/>
              </w:rPr>
              <w:br w:type="textWrapping"/>
            </w:r>
            <w:r>
              <w:rPr>
                <w:rFonts w:hint="eastAsia" w:eastAsia="仿宋_GB2312" w:cs="宋体"/>
                <w:kern w:val="0"/>
                <w:sz w:val="24"/>
                <w:highlight w:val="none"/>
              </w:rPr>
              <w:t>1、现场塔式起重机全部安装、使用安全智能监控报警装置</w:t>
            </w:r>
            <w:r>
              <w:rPr>
                <w:rFonts w:hint="eastAsia" w:eastAsia="仿宋_GB2312" w:cs="宋体"/>
                <w:kern w:val="0"/>
                <w:sz w:val="24"/>
                <w:highlight w:val="none"/>
              </w:rPr>
              <w:br w:type="textWrapping"/>
            </w:r>
            <w:r>
              <w:rPr>
                <w:rFonts w:hint="eastAsia" w:eastAsia="仿宋_GB2312" w:cs="宋体"/>
                <w:kern w:val="0"/>
                <w:sz w:val="24"/>
                <w:highlight w:val="none"/>
              </w:rPr>
              <w:t>2、项目安装、使用塔式起重机抗干扰智能漏电保护装置</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9</w:t>
            </w:r>
          </w:p>
        </w:tc>
        <w:tc>
          <w:tcPr>
            <w:tcW w:w="1276" w:type="dxa"/>
            <w:vMerge w:val="continue"/>
            <w:shd w:val="clear" w:color="auto" w:fill="auto"/>
            <w:vAlign w:val="center"/>
          </w:tcPr>
          <w:p>
            <w:pPr>
              <w:jc w:val="center"/>
              <w:rPr>
                <w:rFonts w:eastAsia="仿宋_GB2312" w:cs="宋体"/>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塔式起重机使用吊钩可视化监测系统的</w:t>
            </w:r>
          </w:p>
        </w:tc>
        <w:tc>
          <w:tcPr>
            <w:tcW w:w="5669" w:type="dxa"/>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现场塔式起重机全部安装、使用吊钩可视化监测系统</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10</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基坑安装智慧监测装置的</w:t>
            </w:r>
          </w:p>
        </w:tc>
        <w:tc>
          <w:tcPr>
            <w:tcW w:w="5669" w:type="dxa"/>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现场基坑安装、使用智慧监测装置，并具备报警功能</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11</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现场用电安装智能管理装置的</w:t>
            </w:r>
          </w:p>
        </w:tc>
        <w:tc>
          <w:tcPr>
            <w:tcW w:w="5669" w:type="dxa"/>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项目安装、使用智能电表</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12</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使用配电箱安全管理系统的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核查现场是否使用配电箱安全管理系统，并有效使用。</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tcBorders>
              <w:bottom w:val="single" w:color="auto" w:sz="4" w:space="0"/>
            </w:tcBorders>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13</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tcBorders>
              <w:bottom w:val="single" w:color="auto" w:sz="4" w:space="0"/>
            </w:tcBorders>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现场人员配备智能安全帽的</w:t>
            </w:r>
          </w:p>
        </w:tc>
        <w:tc>
          <w:tcPr>
            <w:tcW w:w="5669" w:type="dxa"/>
            <w:tcBorders>
              <w:bottom w:val="single" w:color="auto" w:sz="4" w:space="0"/>
            </w:tcBorders>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现场人员配备并使用智能安全帽，安全帽应具备语音对讲、视频交互、照明等至少1项功能。</w:t>
            </w:r>
          </w:p>
        </w:tc>
        <w:tc>
          <w:tcPr>
            <w:tcW w:w="2837" w:type="dxa"/>
            <w:tcBorders>
              <w:bottom w:val="single" w:color="auto" w:sz="4" w:space="0"/>
            </w:tcBorders>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tcBorders>
              <w:top w:val="single" w:color="auto" w:sz="4" w:space="0"/>
              <w:left w:val="single" w:color="auto" w:sz="4" w:space="0"/>
              <w:bottom w:val="single" w:color="auto" w:sz="4" w:space="0"/>
            </w:tcBorders>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14</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tcBorders>
              <w:top w:val="single" w:color="auto" w:sz="4" w:space="0"/>
              <w:bottom w:val="single" w:color="auto" w:sz="4" w:space="0"/>
              <w:right w:val="single" w:color="auto" w:sz="4" w:space="0"/>
            </w:tcBorders>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现场使用工具式防护栏杆的</w:t>
            </w:r>
          </w:p>
        </w:tc>
        <w:tc>
          <w:tcPr>
            <w:tcW w:w="5669"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现场使用工具式防护栏杆</w:t>
            </w:r>
          </w:p>
        </w:tc>
        <w:tc>
          <w:tcPr>
            <w:tcW w:w="283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tcBorders>
              <w:top w:val="single" w:color="auto" w:sz="4" w:space="0"/>
            </w:tcBorders>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15</w:t>
            </w:r>
          </w:p>
        </w:tc>
        <w:tc>
          <w:tcPr>
            <w:tcW w:w="1276" w:type="dxa"/>
            <w:vMerge w:val="restart"/>
            <w:shd w:val="clear" w:color="auto" w:fill="auto"/>
            <w:vAlign w:val="center"/>
          </w:tcPr>
          <w:p>
            <w:pPr>
              <w:jc w:val="center"/>
              <w:rPr>
                <w:rFonts w:eastAsia="仿宋_GB2312" w:cs="宋体"/>
                <w:b/>
                <w:bCs/>
                <w:color w:val="000000"/>
                <w:kern w:val="0"/>
                <w:sz w:val="24"/>
                <w:highlight w:val="none"/>
              </w:rPr>
            </w:pPr>
            <w:r>
              <w:rPr>
                <w:rFonts w:hint="eastAsia" w:eastAsia="仿宋_GB2312" w:cs="宋体"/>
                <w:bCs/>
                <w:color w:val="000000"/>
                <w:kern w:val="0"/>
                <w:sz w:val="24"/>
                <w:highlight w:val="none"/>
              </w:rPr>
              <w:t>智慧创安</w:t>
            </w:r>
          </w:p>
        </w:tc>
        <w:tc>
          <w:tcPr>
            <w:tcW w:w="3353" w:type="dxa"/>
            <w:tcBorders>
              <w:top w:val="single" w:color="auto" w:sz="4" w:space="0"/>
            </w:tcBorders>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附着式升降脚手架安装智慧检测装置的</w:t>
            </w:r>
          </w:p>
        </w:tc>
        <w:tc>
          <w:tcPr>
            <w:tcW w:w="5669" w:type="dxa"/>
            <w:tcBorders>
              <w:top w:val="single" w:color="auto" w:sz="4" w:space="0"/>
            </w:tcBorders>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现场安装、使用附着式升降脚手架智慧监测装置</w:t>
            </w:r>
          </w:p>
        </w:tc>
        <w:tc>
          <w:tcPr>
            <w:tcW w:w="2837" w:type="dxa"/>
            <w:tcBorders>
              <w:top w:val="single" w:color="auto" w:sz="4" w:space="0"/>
            </w:tcBorders>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16</w:t>
            </w:r>
          </w:p>
        </w:tc>
        <w:tc>
          <w:tcPr>
            <w:tcW w:w="1276" w:type="dxa"/>
            <w:vMerge w:val="continue"/>
            <w:shd w:val="clear" w:color="auto" w:fill="auto"/>
            <w:vAlign w:val="center"/>
          </w:tcPr>
          <w:p>
            <w:pPr>
              <w:widowControl/>
              <w:jc w:val="center"/>
              <w:rPr>
                <w:rFonts w:eastAsia="仿宋_GB2312" w:cs="宋体"/>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混凝土模板支撑体系安装智慧监测装置的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现场安装、使用混凝土模板支撑体系智慧监测装置</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17</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使用组拼式大钢模板或塑料模板的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项目使用组拼式大钢模板或塑料模板</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18</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吊篮安装智慧监测装置的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现场安装、使用吊篮智慧监测装置</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19</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盾构施工安装智慧监测装置的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现场安装、使用盾构施工智慧监测装置</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20</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vMerge w:val="restart"/>
            <w:shd w:val="clear" w:color="auto" w:fill="auto"/>
            <w:vAlign w:val="center"/>
          </w:tcPr>
          <w:p>
            <w:pPr>
              <w:widowControl/>
              <w:jc w:val="left"/>
              <w:rPr>
                <w:rFonts w:eastAsia="仿宋_GB2312" w:cs="宋体"/>
                <w:color w:val="000000"/>
                <w:kern w:val="0"/>
                <w:sz w:val="24"/>
                <w:highlight w:val="none"/>
              </w:rPr>
            </w:pPr>
            <w:r>
              <w:rPr>
                <w:rFonts w:hint="eastAsia" w:eastAsia="仿宋_GB2312"/>
                <w:sz w:val="24"/>
                <w:highlight w:val="none"/>
              </w:rPr>
              <w:t>实施其他智慧创安做法的</w:t>
            </w:r>
          </w:p>
        </w:tc>
        <w:tc>
          <w:tcPr>
            <w:tcW w:w="5669" w:type="dxa"/>
            <w:vMerge w:val="restart"/>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参建单位结合国家及本市相关管理文件和技术标准予以确认</w:t>
            </w:r>
          </w:p>
        </w:tc>
        <w:tc>
          <w:tcPr>
            <w:tcW w:w="2837" w:type="dxa"/>
            <w:vMerge w:val="restart"/>
            <w:vAlign w:val="center"/>
          </w:tcPr>
          <w:p>
            <w:pPr>
              <w:spacing w:line="300" w:lineRule="exact"/>
              <w:rPr>
                <w:rFonts w:eastAsia="仿宋_GB2312"/>
                <w:sz w:val="24"/>
                <w:highlight w:val="none"/>
              </w:rPr>
            </w:pPr>
            <w:r>
              <w:rPr>
                <w:rFonts w:hint="eastAsia" w:eastAsia="仿宋_GB2312"/>
                <w:sz w:val="24"/>
                <w:highlight w:val="none"/>
              </w:rPr>
              <w:t>每增加1条并经审核通过的，加0.5分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21</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vMerge w:val="continue"/>
            <w:shd w:val="clear" w:color="auto" w:fill="auto"/>
            <w:vAlign w:val="center"/>
          </w:tcPr>
          <w:p>
            <w:pPr>
              <w:widowControl/>
              <w:jc w:val="left"/>
              <w:rPr>
                <w:rFonts w:eastAsia="仿宋_GB2312" w:cs="宋体"/>
                <w:color w:val="000000"/>
                <w:kern w:val="0"/>
                <w:sz w:val="24"/>
                <w:highlight w:val="none"/>
              </w:rPr>
            </w:pPr>
          </w:p>
        </w:tc>
        <w:tc>
          <w:tcPr>
            <w:tcW w:w="5669" w:type="dxa"/>
            <w:vMerge w:val="continue"/>
            <w:shd w:val="clear" w:color="auto" w:fill="auto"/>
            <w:vAlign w:val="center"/>
          </w:tcPr>
          <w:p>
            <w:pPr>
              <w:widowControl/>
              <w:jc w:val="left"/>
              <w:rPr>
                <w:rFonts w:eastAsia="仿宋_GB2312" w:cs="宋体"/>
                <w:kern w:val="0"/>
                <w:sz w:val="24"/>
                <w:highlight w:val="none"/>
              </w:rPr>
            </w:pPr>
          </w:p>
        </w:tc>
        <w:tc>
          <w:tcPr>
            <w:tcW w:w="2837" w:type="dxa"/>
            <w:vMerge w:val="continue"/>
          </w:tcPr>
          <w:p>
            <w:pPr>
              <w:spacing w:line="300" w:lineRule="exact"/>
              <w:jc w:val="left"/>
              <w:rPr>
                <w:rFonts w:eastAsia="仿宋_GB2312"/>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24" w:type="dxa"/>
            <w:shd w:val="clear" w:color="auto" w:fill="auto"/>
            <w:vAlign w:val="center"/>
          </w:tcPr>
          <w:p>
            <w:pPr>
              <w:spacing w:line="100" w:lineRule="exact"/>
              <w:jc w:val="center"/>
              <w:rPr>
                <w:rFonts w:eastAsia="仿宋_GB2312"/>
                <w:sz w:val="24"/>
                <w:highlight w:val="none"/>
              </w:rPr>
            </w:pPr>
            <w:r>
              <w:rPr>
                <w:rFonts w:hint="eastAsia" w:eastAsia="仿宋_GB2312"/>
                <w:sz w:val="24"/>
                <w:highlight w:val="none"/>
              </w:rPr>
              <w:t>.</w:t>
            </w:r>
          </w:p>
          <w:p>
            <w:pPr>
              <w:spacing w:line="100" w:lineRule="exact"/>
              <w:jc w:val="center"/>
              <w:rPr>
                <w:rFonts w:eastAsia="仿宋_GB2312"/>
                <w:sz w:val="24"/>
                <w:highlight w:val="none"/>
              </w:rPr>
            </w:pPr>
            <w:r>
              <w:rPr>
                <w:rFonts w:hint="eastAsia" w:eastAsia="仿宋_GB2312"/>
                <w:sz w:val="24"/>
                <w:highlight w:val="none"/>
              </w:rPr>
              <w:t>.</w:t>
            </w:r>
          </w:p>
          <w:p>
            <w:pPr>
              <w:widowControl/>
              <w:jc w:val="center"/>
              <w:rPr>
                <w:rFonts w:eastAsia="仿宋_GB2312" w:cs="宋体"/>
                <w:color w:val="000000"/>
                <w:kern w:val="0"/>
                <w:sz w:val="24"/>
                <w:highlight w:val="none"/>
              </w:rPr>
            </w:pPr>
            <w:r>
              <w:rPr>
                <w:rFonts w:hint="eastAsia" w:eastAsia="仿宋_GB2312"/>
                <w:sz w:val="24"/>
                <w:highlight w:val="none"/>
              </w:rPr>
              <w:t>.</w:t>
            </w:r>
          </w:p>
        </w:tc>
        <w:tc>
          <w:tcPr>
            <w:tcW w:w="1276" w:type="dxa"/>
            <w:vMerge w:val="continue"/>
            <w:vAlign w:val="center"/>
          </w:tcPr>
          <w:p>
            <w:pPr>
              <w:widowControl/>
              <w:jc w:val="left"/>
              <w:rPr>
                <w:rFonts w:eastAsia="仿宋_GB2312" w:cs="宋体"/>
                <w:b/>
                <w:bCs/>
                <w:color w:val="000000"/>
                <w:kern w:val="0"/>
                <w:sz w:val="24"/>
                <w:highlight w:val="none"/>
              </w:rPr>
            </w:pPr>
          </w:p>
        </w:tc>
        <w:tc>
          <w:tcPr>
            <w:tcW w:w="3353" w:type="dxa"/>
            <w:vMerge w:val="continue"/>
            <w:shd w:val="clear" w:color="auto" w:fill="auto"/>
            <w:vAlign w:val="center"/>
          </w:tcPr>
          <w:p>
            <w:pPr>
              <w:widowControl/>
              <w:jc w:val="left"/>
              <w:rPr>
                <w:rFonts w:eastAsia="仿宋_GB2312" w:cs="宋体"/>
                <w:color w:val="000000"/>
                <w:kern w:val="0"/>
                <w:sz w:val="24"/>
                <w:highlight w:val="none"/>
              </w:rPr>
            </w:pPr>
          </w:p>
        </w:tc>
        <w:tc>
          <w:tcPr>
            <w:tcW w:w="5669" w:type="dxa"/>
            <w:vMerge w:val="continue"/>
            <w:shd w:val="clear" w:color="auto" w:fill="auto"/>
            <w:vAlign w:val="center"/>
          </w:tcPr>
          <w:p>
            <w:pPr>
              <w:widowControl/>
              <w:jc w:val="left"/>
              <w:rPr>
                <w:rFonts w:eastAsia="仿宋_GB2312" w:cs="宋体"/>
                <w:kern w:val="0"/>
                <w:sz w:val="24"/>
                <w:highlight w:val="none"/>
              </w:rPr>
            </w:pPr>
          </w:p>
        </w:tc>
        <w:tc>
          <w:tcPr>
            <w:tcW w:w="2837" w:type="dxa"/>
            <w:vMerge w:val="continue"/>
          </w:tcPr>
          <w:p>
            <w:pPr>
              <w:spacing w:line="300" w:lineRule="exact"/>
              <w:jc w:val="left"/>
              <w:rPr>
                <w:rFonts w:eastAsia="仿宋_GB2312"/>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w:t>
            </w:r>
          </w:p>
        </w:tc>
        <w:tc>
          <w:tcPr>
            <w:tcW w:w="1276" w:type="dxa"/>
            <w:vMerge w:val="restart"/>
            <w:shd w:val="clear" w:color="auto" w:fill="auto"/>
            <w:vAlign w:val="center"/>
          </w:tcPr>
          <w:p>
            <w:pPr>
              <w:widowControl/>
              <w:jc w:val="center"/>
              <w:rPr>
                <w:rFonts w:eastAsia="仿宋_GB2312" w:cs="宋体"/>
                <w:bCs/>
                <w:color w:val="000000"/>
                <w:kern w:val="0"/>
                <w:sz w:val="24"/>
                <w:highlight w:val="none"/>
              </w:rPr>
            </w:pPr>
            <w:r>
              <w:rPr>
                <w:rFonts w:hint="eastAsia" w:eastAsia="仿宋_GB2312" w:cs="宋体"/>
                <w:bCs/>
                <w:color w:val="000000"/>
                <w:kern w:val="0"/>
                <w:sz w:val="24"/>
                <w:highlight w:val="none"/>
              </w:rPr>
              <w:t>智慧提质</w:t>
            </w: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隐蔽工程全程留存视频影像资料的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隐蔽工程全程留存视频影像资料</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4"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2</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混凝土浇筑、取送样，土方回填，防水及保温工程全程留存影像资料的</w:t>
            </w:r>
          </w:p>
        </w:tc>
        <w:tc>
          <w:tcPr>
            <w:tcW w:w="5669" w:type="dxa"/>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对混凝土浇筑、取送样，土方回填，防水及保温工程是否按照《北京市住房和城乡建设委员会关于加强工程质量影像追溯管理的通知》（京建发〔2021〕29号）留存视频影像资料</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3</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运用空间远程测量、全自动实测实量的</w:t>
            </w:r>
          </w:p>
        </w:tc>
        <w:tc>
          <w:tcPr>
            <w:tcW w:w="5669" w:type="dxa"/>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项目采用三维激光扫描等技术、装备在质量管理方面的应用</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4</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长距离隧道采用信号放大器保证移动信号覆盖的</w:t>
            </w:r>
          </w:p>
        </w:tc>
        <w:tc>
          <w:tcPr>
            <w:tcW w:w="5669" w:type="dxa"/>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长距离隧道工程布置信、使用信号中继或放大装置实现移动信号覆盖</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5</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盾构管片等建筑材料使用二维码进行验收记录的</w:t>
            </w:r>
          </w:p>
        </w:tc>
        <w:tc>
          <w:tcPr>
            <w:tcW w:w="5669" w:type="dxa"/>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盾构管片等建筑材料可通过二维码查询验收记录</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6</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对混凝土温度进行智慧监测的</w:t>
            </w:r>
          </w:p>
        </w:tc>
        <w:tc>
          <w:tcPr>
            <w:tcW w:w="5669" w:type="dxa"/>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设置混凝土温度传感器，实现混凝土温度数据实时传输</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7</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应用手机APP对工程质量实施信息化管理的</w:t>
            </w:r>
          </w:p>
        </w:tc>
        <w:tc>
          <w:tcPr>
            <w:tcW w:w="5669" w:type="dxa"/>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使用手机APP对工程质量进行管理</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8</w:t>
            </w:r>
          </w:p>
        </w:tc>
        <w:tc>
          <w:tcPr>
            <w:tcW w:w="1276" w:type="dxa"/>
            <w:vMerge w:val="continue"/>
            <w:shd w:val="clear" w:color="auto" w:fill="auto"/>
            <w:vAlign w:val="center"/>
          </w:tcPr>
          <w:p>
            <w:pPr>
              <w:widowControl/>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应用BIM技术开展工程质量管理的</w:t>
            </w:r>
          </w:p>
        </w:tc>
        <w:tc>
          <w:tcPr>
            <w:tcW w:w="5669" w:type="dxa"/>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项目应用BIM技术开展三维可视化交底、工艺模拟、碰撞检查等质量管理工作</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9</w:t>
            </w:r>
          </w:p>
        </w:tc>
        <w:tc>
          <w:tcPr>
            <w:tcW w:w="1276" w:type="dxa"/>
            <w:vMerge w:val="restart"/>
            <w:shd w:val="clear" w:color="auto" w:fill="auto"/>
            <w:vAlign w:val="center"/>
          </w:tcPr>
          <w:p>
            <w:pPr>
              <w:widowControl/>
              <w:jc w:val="left"/>
              <w:rPr>
                <w:rFonts w:eastAsia="仿宋_GB2312" w:cs="宋体"/>
                <w:b/>
                <w:bCs/>
                <w:color w:val="000000"/>
                <w:kern w:val="0"/>
                <w:sz w:val="24"/>
                <w:highlight w:val="none"/>
              </w:rPr>
            </w:pPr>
            <w:r>
              <w:rPr>
                <w:rFonts w:hint="eastAsia" w:eastAsia="仿宋_GB2312" w:cs="宋体"/>
                <w:bCs/>
                <w:color w:val="000000"/>
                <w:kern w:val="0"/>
                <w:sz w:val="24"/>
                <w:highlight w:val="none"/>
              </w:rPr>
              <w:t>智慧提质</w:t>
            </w: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应用可视化装备辅助质量管理的</w:t>
            </w:r>
          </w:p>
        </w:tc>
        <w:tc>
          <w:tcPr>
            <w:tcW w:w="5669" w:type="dxa"/>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采用VR、MR、高清摄像头等可视化装备，辅助质量管理等</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10</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vMerge w:val="restart"/>
            <w:shd w:val="clear" w:color="auto" w:fill="auto"/>
            <w:vAlign w:val="center"/>
          </w:tcPr>
          <w:p>
            <w:pPr>
              <w:widowControl/>
              <w:jc w:val="left"/>
              <w:rPr>
                <w:rFonts w:eastAsia="仿宋_GB2312" w:cs="宋体"/>
                <w:color w:val="000000"/>
                <w:kern w:val="0"/>
                <w:sz w:val="24"/>
                <w:highlight w:val="none"/>
              </w:rPr>
            </w:pPr>
            <w:r>
              <w:rPr>
                <w:rFonts w:hint="eastAsia" w:eastAsia="仿宋_GB2312"/>
                <w:sz w:val="24"/>
                <w:highlight w:val="none"/>
              </w:rPr>
              <w:t>实施其他智慧提质做法的</w:t>
            </w:r>
          </w:p>
        </w:tc>
        <w:tc>
          <w:tcPr>
            <w:tcW w:w="5669" w:type="dxa"/>
            <w:vMerge w:val="restart"/>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参建单位结合国家及本市相关管理文件和技术标准予以确认</w:t>
            </w:r>
          </w:p>
        </w:tc>
        <w:tc>
          <w:tcPr>
            <w:tcW w:w="2837" w:type="dxa"/>
            <w:vMerge w:val="restart"/>
            <w:vAlign w:val="center"/>
          </w:tcPr>
          <w:p>
            <w:pPr>
              <w:spacing w:line="300" w:lineRule="exact"/>
              <w:jc w:val="center"/>
              <w:rPr>
                <w:rFonts w:eastAsia="仿宋_GB2312"/>
                <w:sz w:val="24"/>
                <w:highlight w:val="none"/>
              </w:rPr>
            </w:pPr>
            <w:r>
              <w:rPr>
                <w:rFonts w:hint="eastAsia" w:eastAsia="仿宋_GB2312"/>
                <w:sz w:val="24"/>
                <w:highlight w:val="none"/>
              </w:rPr>
              <w:t>每增加1条并经审核通过的，加0.5分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11</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vMerge w:val="continue"/>
            <w:shd w:val="clear" w:color="auto" w:fill="auto"/>
            <w:vAlign w:val="center"/>
          </w:tcPr>
          <w:p>
            <w:pPr>
              <w:widowControl/>
              <w:jc w:val="left"/>
              <w:rPr>
                <w:rFonts w:eastAsia="仿宋_GB2312" w:cs="宋体"/>
                <w:color w:val="000000"/>
                <w:kern w:val="0"/>
                <w:sz w:val="24"/>
                <w:highlight w:val="none"/>
              </w:rPr>
            </w:pPr>
          </w:p>
        </w:tc>
        <w:tc>
          <w:tcPr>
            <w:tcW w:w="5669" w:type="dxa"/>
            <w:vMerge w:val="continue"/>
            <w:shd w:val="clear" w:color="auto" w:fill="auto"/>
            <w:vAlign w:val="center"/>
          </w:tcPr>
          <w:p>
            <w:pPr>
              <w:widowControl/>
              <w:rPr>
                <w:rFonts w:eastAsia="仿宋_GB2312" w:cs="宋体"/>
                <w:kern w:val="0"/>
                <w:sz w:val="24"/>
                <w:highlight w:val="none"/>
              </w:rPr>
            </w:pPr>
          </w:p>
        </w:tc>
        <w:tc>
          <w:tcPr>
            <w:tcW w:w="2837" w:type="dxa"/>
            <w:vMerge w:val="continue"/>
          </w:tcPr>
          <w:p>
            <w:pPr>
              <w:spacing w:line="300" w:lineRule="exact"/>
              <w:jc w:val="left"/>
              <w:rPr>
                <w:rFonts w:eastAsia="仿宋_GB2312"/>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24" w:type="dxa"/>
            <w:shd w:val="clear" w:color="auto" w:fill="auto"/>
            <w:vAlign w:val="center"/>
          </w:tcPr>
          <w:p>
            <w:pPr>
              <w:spacing w:line="100" w:lineRule="exact"/>
              <w:jc w:val="center"/>
              <w:rPr>
                <w:rFonts w:eastAsia="仿宋_GB2312"/>
                <w:sz w:val="24"/>
                <w:highlight w:val="none"/>
              </w:rPr>
            </w:pPr>
            <w:r>
              <w:rPr>
                <w:rFonts w:hint="eastAsia" w:eastAsia="仿宋_GB2312"/>
                <w:sz w:val="24"/>
                <w:highlight w:val="none"/>
              </w:rPr>
              <w:t>.</w:t>
            </w:r>
          </w:p>
          <w:p>
            <w:pPr>
              <w:spacing w:line="100" w:lineRule="exact"/>
              <w:jc w:val="center"/>
              <w:rPr>
                <w:rFonts w:eastAsia="仿宋_GB2312"/>
                <w:sz w:val="24"/>
                <w:highlight w:val="none"/>
              </w:rPr>
            </w:pPr>
            <w:r>
              <w:rPr>
                <w:rFonts w:hint="eastAsia" w:eastAsia="仿宋_GB2312"/>
                <w:sz w:val="24"/>
                <w:highlight w:val="none"/>
              </w:rPr>
              <w:t>.</w:t>
            </w:r>
          </w:p>
          <w:p>
            <w:pPr>
              <w:widowControl/>
              <w:jc w:val="center"/>
              <w:rPr>
                <w:rFonts w:eastAsia="仿宋_GB2312" w:cs="宋体"/>
                <w:color w:val="000000"/>
                <w:kern w:val="0"/>
                <w:sz w:val="24"/>
                <w:highlight w:val="none"/>
              </w:rPr>
            </w:pPr>
            <w:r>
              <w:rPr>
                <w:rFonts w:hint="eastAsia" w:eastAsia="仿宋_GB2312"/>
                <w:sz w:val="24"/>
                <w:highlight w:val="none"/>
              </w:rPr>
              <w:t>.</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vMerge w:val="continue"/>
            <w:shd w:val="clear" w:color="auto" w:fill="auto"/>
            <w:vAlign w:val="center"/>
          </w:tcPr>
          <w:p>
            <w:pPr>
              <w:widowControl/>
              <w:jc w:val="left"/>
              <w:rPr>
                <w:rFonts w:eastAsia="仿宋_GB2312" w:cs="宋体"/>
                <w:color w:val="000000"/>
                <w:kern w:val="0"/>
                <w:sz w:val="24"/>
                <w:highlight w:val="none"/>
              </w:rPr>
            </w:pPr>
          </w:p>
        </w:tc>
        <w:tc>
          <w:tcPr>
            <w:tcW w:w="5669" w:type="dxa"/>
            <w:vMerge w:val="continue"/>
            <w:shd w:val="clear" w:color="auto" w:fill="auto"/>
            <w:vAlign w:val="center"/>
          </w:tcPr>
          <w:p>
            <w:pPr>
              <w:widowControl/>
              <w:rPr>
                <w:rFonts w:eastAsia="仿宋_GB2312" w:cs="宋体"/>
                <w:kern w:val="0"/>
                <w:sz w:val="24"/>
                <w:highlight w:val="none"/>
              </w:rPr>
            </w:pPr>
          </w:p>
        </w:tc>
        <w:tc>
          <w:tcPr>
            <w:tcW w:w="2837" w:type="dxa"/>
            <w:vMerge w:val="continue"/>
          </w:tcPr>
          <w:p>
            <w:pPr>
              <w:spacing w:line="300" w:lineRule="exact"/>
              <w:jc w:val="left"/>
              <w:rPr>
                <w:rFonts w:eastAsia="仿宋_GB2312"/>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w:t>
            </w:r>
          </w:p>
        </w:tc>
        <w:tc>
          <w:tcPr>
            <w:tcW w:w="1276" w:type="dxa"/>
            <w:vMerge w:val="restart"/>
            <w:shd w:val="clear" w:color="auto" w:fill="auto"/>
            <w:vAlign w:val="center"/>
          </w:tcPr>
          <w:p>
            <w:pPr>
              <w:jc w:val="center"/>
              <w:rPr>
                <w:rFonts w:eastAsia="仿宋_GB2312" w:cs="宋体"/>
                <w:bCs/>
                <w:color w:val="000000"/>
                <w:kern w:val="0"/>
                <w:sz w:val="24"/>
                <w:highlight w:val="none"/>
              </w:rPr>
            </w:pPr>
            <w:r>
              <w:rPr>
                <w:rFonts w:hint="eastAsia" w:eastAsia="仿宋_GB2312" w:cs="宋体"/>
                <w:bCs/>
                <w:color w:val="000000"/>
                <w:kern w:val="0"/>
                <w:sz w:val="24"/>
                <w:highlight w:val="none"/>
              </w:rPr>
              <w:t>智慧增绿</w:t>
            </w: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实施扬尘在线视频监测的</w:t>
            </w:r>
          </w:p>
        </w:tc>
        <w:tc>
          <w:tcPr>
            <w:tcW w:w="5669" w:type="dxa"/>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项目安装、使用扬尘在线视频监测装置</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2</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安装空气颗粒物监测设备，实时采集现场扬尘数据等智慧环境检测的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项目现场安装、使用空气颗粒物监测设备等能实现扬尘监测的设备</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3</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采用喷淋系统洒水降尘的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项目安装、使用喷淋系统</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4"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4</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开展施工现场“满眼绿”工程建设，实行绿植绿化景观做法的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施工现场除通行道路、作业面、加工堆料场地外，基本采取绿植绿化景观代替防尘覆盖等措施</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5</w:t>
            </w:r>
          </w:p>
        </w:tc>
        <w:tc>
          <w:tcPr>
            <w:tcW w:w="1276" w:type="dxa"/>
            <w:vMerge w:val="restart"/>
            <w:shd w:val="clear" w:color="auto" w:fill="auto"/>
            <w:vAlign w:val="center"/>
          </w:tcPr>
          <w:p>
            <w:pPr>
              <w:jc w:val="center"/>
              <w:rPr>
                <w:rFonts w:eastAsia="仿宋_GB2312" w:cs="宋体"/>
                <w:b/>
                <w:bCs/>
                <w:color w:val="000000"/>
                <w:kern w:val="0"/>
                <w:sz w:val="24"/>
                <w:highlight w:val="none"/>
              </w:rPr>
            </w:pPr>
            <w:r>
              <w:rPr>
                <w:rFonts w:hint="eastAsia" w:eastAsia="仿宋_GB2312" w:cs="宋体"/>
                <w:bCs/>
                <w:color w:val="000000"/>
                <w:kern w:val="0"/>
                <w:sz w:val="24"/>
                <w:highlight w:val="none"/>
              </w:rPr>
              <w:t>智慧增绿</w:t>
            </w: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施工现场使用生物质可降解防尘网的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施工现场100%使用生物质可降解防尘网</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6</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现场非道路移动机械及运渣车智慧管理的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项目</w:t>
            </w:r>
            <w:r>
              <w:rPr>
                <w:rFonts w:hint="eastAsia" w:eastAsia="仿宋_GB2312" w:cs="宋体"/>
                <w:color w:val="000000"/>
                <w:kern w:val="0"/>
                <w:sz w:val="24"/>
                <w:highlight w:val="none"/>
              </w:rPr>
              <w:t>现场非道路移动机械</w:t>
            </w:r>
            <w:r>
              <w:rPr>
                <w:rFonts w:hint="eastAsia" w:eastAsia="仿宋_GB2312" w:cs="宋体"/>
                <w:kern w:val="0"/>
                <w:sz w:val="24"/>
                <w:highlight w:val="none"/>
              </w:rPr>
              <w:t>加装使用污染控制装置或运渣车安装使用定位监测装置</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7</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施工现场采用绿色车辆设备的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施工现场采用符合绿色环保排放的车辆设备</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8</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现场出入口安装高压洗车台的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现场所有出入口安装、使用高压洗车台；</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9</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现场出入口安装车辆号牌识别设备，记录进出场车辆、车身覆盖及清洁信息的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现场出入口安装、使用车辆号牌识别系统，并对车身覆盖、清洁信息抓拍、储存</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10</w:t>
            </w:r>
          </w:p>
        </w:tc>
        <w:tc>
          <w:tcPr>
            <w:tcW w:w="1276" w:type="dxa"/>
            <w:vMerge w:val="continue"/>
            <w:shd w:val="clear" w:color="auto" w:fill="auto"/>
            <w:vAlign w:val="center"/>
          </w:tcPr>
          <w:p>
            <w:pPr>
              <w:widowControl/>
              <w:jc w:val="center"/>
              <w:rPr>
                <w:rFonts w:eastAsia="仿宋_GB2312" w:cs="宋体"/>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使用明挖基坑电动绿网防尘天幕的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明挖基坑安装、使用电动绿网防尘天幕；</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11</w:t>
            </w:r>
          </w:p>
        </w:tc>
        <w:tc>
          <w:tcPr>
            <w:tcW w:w="1276" w:type="dxa"/>
            <w:vMerge w:val="restart"/>
            <w:shd w:val="clear" w:color="auto" w:fill="auto"/>
            <w:vAlign w:val="center"/>
          </w:tcPr>
          <w:p>
            <w:pPr>
              <w:widowControl/>
              <w:jc w:val="left"/>
              <w:rPr>
                <w:rFonts w:eastAsia="仿宋_GB2312" w:cs="宋体"/>
                <w:b/>
                <w:bCs/>
                <w:color w:val="000000"/>
                <w:kern w:val="0"/>
                <w:sz w:val="24"/>
                <w:highlight w:val="none"/>
              </w:rPr>
            </w:pPr>
            <w:r>
              <w:rPr>
                <w:rFonts w:hint="eastAsia" w:eastAsia="仿宋_GB2312" w:cs="宋体"/>
                <w:bCs/>
                <w:color w:val="000000"/>
                <w:kern w:val="0"/>
                <w:sz w:val="24"/>
                <w:highlight w:val="none"/>
              </w:rPr>
              <w:t>智慧增绿</w:t>
            </w: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明挖或暗挖基坑采用防尘隔离棚的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明挖或暗挖基坑使用防尘隔离棚</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12</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施工现场建筑垃圾减量化管理和再生资源化处置的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施工现场的建筑垃圾采取减量化管理和再生资源化处置方式</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13</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现场电焊施工使用移动式焊接烟尘净化器的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现场电焊施工使用移动式焊接烟尘净化器</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14</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vMerge w:val="restart"/>
            <w:shd w:val="clear" w:color="auto" w:fill="auto"/>
            <w:vAlign w:val="center"/>
          </w:tcPr>
          <w:p>
            <w:pPr>
              <w:widowControl/>
              <w:jc w:val="left"/>
              <w:rPr>
                <w:rFonts w:eastAsia="仿宋_GB2312" w:cs="宋体"/>
                <w:color w:val="000000"/>
                <w:kern w:val="0"/>
                <w:sz w:val="24"/>
                <w:highlight w:val="none"/>
              </w:rPr>
            </w:pPr>
            <w:r>
              <w:rPr>
                <w:rFonts w:hint="eastAsia" w:eastAsia="仿宋_GB2312"/>
                <w:sz w:val="24"/>
                <w:highlight w:val="none"/>
              </w:rPr>
              <w:t>实施其他智慧增绿做法的</w:t>
            </w:r>
          </w:p>
        </w:tc>
        <w:tc>
          <w:tcPr>
            <w:tcW w:w="5669" w:type="dxa"/>
            <w:vMerge w:val="restart"/>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参建单位结合国家及本市相关管理文件和技术标准予以确认</w:t>
            </w:r>
          </w:p>
        </w:tc>
        <w:tc>
          <w:tcPr>
            <w:tcW w:w="2837" w:type="dxa"/>
            <w:vMerge w:val="restart"/>
            <w:vAlign w:val="center"/>
          </w:tcPr>
          <w:p>
            <w:pPr>
              <w:spacing w:line="300" w:lineRule="exact"/>
              <w:jc w:val="center"/>
              <w:rPr>
                <w:rFonts w:eastAsia="仿宋_GB2312"/>
                <w:sz w:val="24"/>
                <w:highlight w:val="none"/>
              </w:rPr>
            </w:pPr>
            <w:r>
              <w:rPr>
                <w:rFonts w:hint="eastAsia" w:eastAsia="仿宋_GB2312"/>
                <w:sz w:val="24"/>
                <w:highlight w:val="none"/>
              </w:rPr>
              <w:t>每增加1条并经审核通过的，加0.5分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15</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vMerge w:val="continue"/>
            <w:shd w:val="clear" w:color="auto" w:fill="auto"/>
            <w:vAlign w:val="center"/>
          </w:tcPr>
          <w:p>
            <w:pPr>
              <w:widowControl/>
              <w:jc w:val="left"/>
              <w:rPr>
                <w:rFonts w:eastAsia="仿宋_GB2312" w:cs="宋体"/>
                <w:color w:val="000000"/>
                <w:kern w:val="0"/>
                <w:sz w:val="24"/>
                <w:highlight w:val="none"/>
              </w:rPr>
            </w:pPr>
          </w:p>
        </w:tc>
        <w:tc>
          <w:tcPr>
            <w:tcW w:w="5669" w:type="dxa"/>
            <w:vMerge w:val="continue"/>
            <w:shd w:val="clear" w:color="auto" w:fill="auto"/>
            <w:vAlign w:val="center"/>
          </w:tcPr>
          <w:p>
            <w:pPr>
              <w:widowControl/>
              <w:jc w:val="left"/>
              <w:rPr>
                <w:rFonts w:eastAsia="仿宋_GB2312" w:cs="宋体"/>
                <w:kern w:val="0"/>
                <w:sz w:val="24"/>
                <w:highlight w:val="none"/>
              </w:rPr>
            </w:pPr>
          </w:p>
        </w:tc>
        <w:tc>
          <w:tcPr>
            <w:tcW w:w="2837" w:type="dxa"/>
            <w:vMerge w:val="continue"/>
          </w:tcPr>
          <w:p>
            <w:pPr>
              <w:spacing w:line="300" w:lineRule="exact"/>
              <w:jc w:val="left"/>
              <w:rPr>
                <w:rFonts w:eastAsia="仿宋_GB2312"/>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24" w:type="dxa"/>
            <w:shd w:val="clear" w:color="auto" w:fill="auto"/>
            <w:vAlign w:val="center"/>
          </w:tcPr>
          <w:p>
            <w:pPr>
              <w:spacing w:line="100" w:lineRule="exact"/>
              <w:jc w:val="center"/>
              <w:rPr>
                <w:rFonts w:eastAsia="仿宋_GB2312"/>
                <w:sz w:val="24"/>
                <w:highlight w:val="none"/>
              </w:rPr>
            </w:pPr>
            <w:r>
              <w:rPr>
                <w:rFonts w:hint="eastAsia" w:eastAsia="仿宋_GB2312"/>
                <w:sz w:val="24"/>
                <w:highlight w:val="none"/>
              </w:rPr>
              <w:t>.</w:t>
            </w:r>
          </w:p>
          <w:p>
            <w:pPr>
              <w:spacing w:line="100" w:lineRule="exact"/>
              <w:jc w:val="center"/>
              <w:rPr>
                <w:rFonts w:eastAsia="仿宋_GB2312"/>
                <w:sz w:val="24"/>
                <w:highlight w:val="none"/>
              </w:rPr>
            </w:pPr>
            <w:r>
              <w:rPr>
                <w:rFonts w:hint="eastAsia" w:eastAsia="仿宋_GB2312"/>
                <w:sz w:val="24"/>
                <w:highlight w:val="none"/>
              </w:rPr>
              <w:t>.</w:t>
            </w:r>
          </w:p>
          <w:p>
            <w:pPr>
              <w:widowControl/>
              <w:jc w:val="center"/>
              <w:rPr>
                <w:rFonts w:eastAsia="仿宋_GB2312" w:cs="宋体"/>
                <w:color w:val="000000"/>
                <w:kern w:val="0"/>
                <w:sz w:val="24"/>
                <w:highlight w:val="none"/>
              </w:rPr>
            </w:pPr>
            <w:r>
              <w:rPr>
                <w:rFonts w:hint="eastAsia" w:eastAsia="仿宋_GB2312"/>
                <w:sz w:val="24"/>
                <w:highlight w:val="none"/>
              </w:rPr>
              <w:t>.</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vMerge w:val="continue"/>
            <w:shd w:val="clear" w:color="auto" w:fill="auto"/>
            <w:vAlign w:val="center"/>
          </w:tcPr>
          <w:p>
            <w:pPr>
              <w:widowControl/>
              <w:jc w:val="left"/>
              <w:rPr>
                <w:rFonts w:eastAsia="仿宋_GB2312" w:cs="宋体"/>
                <w:color w:val="000000"/>
                <w:kern w:val="0"/>
                <w:sz w:val="24"/>
                <w:highlight w:val="none"/>
              </w:rPr>
            </w:pPr>
          </w:p>
        </w:tc>
        <w:tc>
          <w:tcPr>
            <w:tcW w:w="5669" w:type="dxa"/>
            <w:vMerge w:val="continue"/>
            <w:shd w:val="clear" w:color="auto" w:fill="auto"/>
            <w:vAlign w:val="center"/>
          </w:tcPr>
          <w:p>
            <w:pPr>
              <w:widowControl/>
              <w:jc w:val="left"/>
              <w:rPr>
                <w:rFonts w:eastAsia="仿宋_GB2312" w:cs="宋体"/>
                <w:kern w:val="0"/>
                <w:sz w:val="24"/>
                <w:highlight w:val="none"/>
              </w:rPr>
            </w:pPr>
          </w:p>
        </w:tc>
        <w:tc>
          <w:tcPr>
            <w:tcW w:w="2837" w:type="dxa"/>
            <w:vMerge w:val="continue"/>
          </w:tcPr>
          <w:p>
            <w:pPr>
              <w:spacing w:line="300" w:lineRule="exact"/>
              <w:jc w:val="left"/>
              <w:rPr>
                <w:rFonts w:eastAsia="仿宋_GB2312"/>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4"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w:t>
            </w:r>
          </w:p>
        </w:tc>
        <w:tc>
          <w:tcPr>
            <w:tcW w:w="1276" w:type="dxa"/>
            <w:shd w:val="clear" w:color="auto" w:fill="auto"/>
            <w:vAlign w:val="center"/>
          </w:tcPr>
          <w:p>
            <w:pPr>
              <w:jc w:val="center"/>
              <w:rPr>
                <w:rFonts w:eastAsia="仿宋_GB2312" w:cs="宋体"/>
                <w:bCs/>
                <w:color w:val="000000"/>
                <w:kern w:val="0"/>
                <w:sz w:val="24"/>
                <w:highlight w:val="none"/>
              </w:rPr>
            </w:pPr>
            <w:r>
              <w:rPr>
                <w:rFonts w:hint="eastAsia" w:eastAsia="仿宋_GB2312" w:cs="宋体"/>
                <w:bCs/>
                <w:color w:val="000000"/>
                <w:kern w:val="0"/>
                <w:sz w:val="24"/>
                <w:highlight w:val="none"/>
              </w:rPr>
              <w:t>智慧创卫</w:t>
            </w: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现场封闭式管理采用智慧化手段的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施工现场采用电子围栏、闸机、AI摄像头对施工现场进行人员、车辆管理</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8"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2</w:t>
            </w:r>
          </w:p>
        </w:tc>
        <w:tc>
          <w:tcPr>
            <w:tcW w:w="1276" w:type="dxa"/>
            <w:vMerge w:val="restart"/>
            <w:shd w:val="clear" w:color="auto" w:fill="auto"/>
            <w:vAlign w:val="center"/>
          </w:tcPr>
          <w:p>
            <w:pPr>
              <w:jc w:val="center"/>
              <w:rPr>
                <w:rFonts w:eastAsia="仿宋_GB2312" w:cs="宋体"/>
                <w:b/>
                <w:bCs/>
                <w:color w:val="000000"/>
                <w:kern w:val="0"/>
                <w:sz w:val="24"/>
                <w:highlight w:val="none"/>
              </w:rPr>
            </w:pPr>
            <w:r>
              <w:rPr>
                <w:rFonts w:hint="eastAsia" w:eastAsia="仿宋_GB2312" w:cs="宋体"/>
                <w:bCs/>
                <w:color w:val="000000"/>
                <w:kern w:val="0"/>
                <w:sz w:val="24"/>
                <w:highlight w:val="none"/>
              </w:rPr>
              <w:t>智慧创卫</w:t>
            </w: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设置人体红外线测温仪（门）检测现场人员体温的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施工现场出入口安装、使用人体红外线测温仪</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8"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3</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现场出入口张贴“北京健康宝”“行程码”按要求对进场人员实行扫码登记和智慧管理的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1、现场出入口张贴“北京健康宝”“行程码”；</w:t>
            </w:r>
            <w:r>
              <w:rPr>
                <w:rFonts w:hint="eastAsia" w:eastAsia="仿宋_GB2312" w:cs="宋体"/>
                <w:kern w:val="0"/>
                <w:sz w:val="24"/>
                <w:highlight w:val="none"/>
              </w:rPr>
              <w:br w:type="textWrapping"/>
            </w:r>
            <w:r>
              <w:rPr>
                <w:rFonts w:hint="eastAsia" w:eastAsia="仿宋_GB2312" w:cs="宋体"/>
                <w:kern w:val="0"/>
                <w:sz w:val="24"/>
                <w:highlight w:val="none"/>
              </w:rPr>
              <w:t>2、进场人员进行扫码登记的电子记录表与监控台账</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1"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4</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采用智慧化方式落实爱国卫生运动的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现场爱国卫生运动满足《北京市房屋建筑和市政基础设施工程施工现场深入开展新时代爱国卫生运动三年行动方案》（京建发〔2020〕242号）中“四、专项行动”规定要求</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8"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5</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生活区采用物业化智慧管理的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项目采用智慧物业管理系统对生活区物业化管理</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8"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6</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生活区格严格按要求垃圾分类智慧化管理的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项目对生活区垃圾管理符合垃圾分类管理要求，如：有配备分类垃圾箱、有垃圾分类教育和相关记录、在垃圾堆放处设宣传栏等。</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8"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7</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推广使用装配式临建房的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现场临建房满足《建设工程施工现场生活区设置和管理导则》（京建发〔2020〕289号）中“第2</w:t>
            </w:r>
            <w:r>
              <w:rPr>
                <w:rFonts w:eastAsia="仿宋_GB2312" w:cs="宋体"/>
                <w:kern w:val="0"/>
                <w:sz w:val="24"/>
                <w:highlight w:val="none"/>
              </w:rPr>
              <w:t>.0.4</w:t>
            </w:r>
            <w:r>
              <w:rPr>
                <w:rFonts w:hint="eastAsia" w:eastAsia="仿宋_GB2312" w:cs="宋体"/>
                <w:kern w:val="0"/>
                <w:sz w:val="24"/>
                <w:highlight w:val="none"/>
              </w:rPr>
              <w:t>～</w:t>
            </w:r>
            <w:r>
              <w:rPr>
                <w:rFonts w:eastAsia="仿宋_GB2312" w:cs="宋体"/>
                <w:kern w:val="0"/>
                <w:sz w:val="24"/>
                <w:highlight w:val="none"/>
              </w:rPr>
              <w:t>2.0.6</w:t>
            </w:r>
            <w:r>
              <w:rPr>
                <w:rFonts w:hint="eastAsia" w:eastAsia="仿宋_GB2312" w:cs="宋体"/>
                <w:kern w:val="0"/>
                <w:sz w:val="24"/>
                <w:highlight w:val="none"/>
              </w:rPr>
              <w:t>条、第7 安装、验收与拆除”规定要求</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1"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8</w:t>
            </w:r>
          </w:p>
        </w:tc>
        <w:tc>
          <w:tcPr>
            <w:tcW w:w="1276" w:type="dxa"/>
            <w:vMerge w:val="restart"/>
            <w:shd w:val="clear" w:color="auto" w:fill="auto"/>
            <w:vAlign w:val="center"/>
          </w:tcPr>
          <w:p>
            <w:pPr>
              <w:widowControl/>
              <w:jc w:val="center"/>
              <w:rPr>
                <w:rFonts w:eastAsia="仿宋_GB2312" w:cs="宋体"/>
                <w:bCs/>
                <w:color w:val="000000"/>
                <w:kern w:val="0"/>
                <w:sz w:val="24"/>
                <w:highlight w:val="none"/>
              </w:rPr>
            </w:pPr>
            <w:r>
              <w:rPr>
                <w:rFonts w:hint="eastAsia" w:eastAsia="仿宋_GB2312" w:cs="宋体"/>
                <w:bCs/>
                <w:color w:val="000000"/>
                <w:kern w:val="0"/>
                <w:sz w:val="24"/>
                <w:highlight w:val="none"/>
              </w:rPr>
              <w:t>智慧创卫</w:t>
            </w: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生活区设置门卫室、宿舍、食堂、卫生间、盥洗设施、淋浴间、洗衣房、晾衣区、突发事件紧急隔离区等临时设施智慧管理方式的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生活区满足《建设工程施工现场生活区设置和管理导则》（京建发〔2020〕289号）中第3</w:t>
            </w:r>
            <w:r>
              <w:rPr>
                <w:rFonts w:eastAsia="仿宋_GB2312" w:cs="宋体"/>
                <w:kern w:val="0"/>
                <w:sz w:val="24"/>
                <w:highlight w:val="none"/>
              </w:rPr>
              <w:t>.1.4</w:t>
            </w:r>
            <w:r>
              <w:rPr>
                <w:rFonts w:hint="eastAsia" w:eastAsia="仿宋_GB2312" w:cs="宋体"/>
                <w:kern w:val="0"/>
                <w:sz w:val="24"/>
                <w:highlight w:val="none"/>
              </w:rPr>
              <w:t>、</w:t>
            </w:r>
            <w:r>
              <w:rPr>
                <w:rFonts w:eastAsia="仿宋_GB2312" w:cs="宋体"/>
                <w:kern w:val="0"/>
                <w:sz w:val="24"/>
                <w:highlight w:val="none"/>
              </w:rPr>
              <w:t>3.1.5</w:t>
            </w:r>
            <w:r>
              <w:rPr>
                <w:rFonts w:hint="eastAsia" w:eastAsia="仿宋_GB2312" w:cs="宋体"/>
                <w:kern w:val="0"/>
                <w:sz w:val="24"/>
                <w:highlight w:val="none"/>
              </w:rPr>
              <w:t>、3</w:t>
            </w:r>
            <w:r>
              <w:rPr>
                <w:rFonts w:eastAsia="仿宋_GB2312" w:cs="宋体"/>
                <w:kern w:val="0"/>
                <w:sz w:val="24"/>
                <w:highlight w:val="none"/>
              </w:rPr>
              <w:t>.2.6</w:t>
            </w:r>
            <w:r>
              <w:rPr>
                <w:rFonts w:hint="eastAsia" w:eastAsia="仿宋_GB2312" w:cs="宋体"/>
                <w:kern w:val="0"/>
                <w:sz w:val="24"/>
                <w:highlight w:val="none"/>
              </w:rPr>
              <w:t>、3</w:t>
            </w:r>
            <w:r>
              <w:rPr>
                <w:rFonts w:eastAsia="仿宋_GB2312" w:cs="宋体"/>
                <w:kern w:val="0"/>
                <w:sz w:val="24"/>
                <w:highlight w:val="none"/>
              </w:rPr>
              <w:t>.3.5</w:t>
            </w:r>
            <w:r>
              <w:rPr>
                <w:rFonts w:hint="eastAsia" w:eastAsia="仿宋_GB2312" w:cs="宋体"/>
                <w:kern w:val="0"/>
                <w:sz w:val="24"/>
                <w:highlight w:val="none"/>
              </w:rPr>
              <w:t>、3</w:t>
            </w:r>
            <w:r>
              <w:rPr>
                <w:rFonts w:eastAsia="仿宋_GB2312" w:cs="宋体"/>
                <w:kern w:val="0"/>
                <w:sz w:val="24"/>
                <w:highlight w:val="none"/>
              </w:rPr>
              <w:t>.5.3</w:t>
            </w:r>
            <w:r>
              <w:rPr>
                <w:rFonts w:hint="eastAsia" w:eastAsia="仿宋_GB2312" w:cs="宋体"/>
                <w:kern w:val="0"/>
                <w:sz w:val="24"/>
                <w:highlight w:val="none"/>
              </w:rPr>
              <w:t>、6</w:t>
            </w:r>
            <w:r>
              <w:rPr>
                <w:rFonts w:eastAsia="仿宋_GB2312" w:cs="宋体"/>
                <w:kern w:val="0"/>
                <w:sz w:val="24"/>
                <w:highlight w:val="none"/>
              </w:rPr>
              <w:t>.0.2</w:t>
            </w:r>
            <w:r>
              <w:rPr>
                <w:rFonts w:hint="eastAsia" w:eastAsia="仿宋_GB2312" w:cs="宋体"/>
                <w:kern w:val="0"/>
                <w:sz w:val="24"/>
                <w:highlight w:val="none"/>
              </w:rPr>
              <w:t>条规定要求</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1"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9</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设置食堂的项目，食堂设置隔油池，污水经隔油处理达标的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食堂满足《建设工程施工现场生活区设置和管理导则》（京建发〔2020〕289号）中第3</w:t>
            </w:r>
            <w:r>
              <w:rPr>
                <w:rFonts w:eastAsia="仿宋_GB2312" w:cs="宋体"/>
                <w:kern w:val="0"/>
                <w:sz w:val="24"/>
                <w:highlight w:val="none"/>
              </w:rPr>
              <w:t>.3.6</w:t>
            </w:r>
            <w:r>
              <w:rPr>
                <w:rFonts w:hint="eastAsia" w:eastAsia="仿宋_GB2312" w:cs="宋体"/>
                <w:kern w:val="0"/>
                <w:sz w:val="24"/>
                <w:highlight w:val="none"/>
              </w:rPr>
              <w:t>条规定要求</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1"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10</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食品食材采用可追溯智慧管理的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食品食材管理满足《建设工程施工现场生活区设置和管理导则》（京建发〔2020〕289号）中第5</w:t>
            </w:r>
            <w:r>
              <w:rPr>
                <w:rFonts w:eastAsia="仿宋_GB2312" w:cs="宋体"/>
                <w:kern w:val="0"/>
                <w:sz w:val="24"/>
                <w:highlight w:val="none"/>
              </w:rPr>
              <w:t>.0.5</w:t>
            </w:r>
            <w:r>
              <w:rPr>
                <w:rFonts w:hint="eastAsia" w:eastAsia="仿宋_GB2312" w:cs="宋体"/>
                <w:kern w:val="0"/>
                <w:sz w:val="24"/>
                <w:highlight w:val="none"/>
              </w:rPr>
              <w:t>、5</w:t>
            </w:r>
            <w:r>
              <w:rPr>
                <w:rFonts w:eastAsia="仿宋_GB2312" w:cs="宋体"/>
                <w:kern w:val="0"/>
                <w:sz w:val="24"/>
                <w:highlight w:val="none"/>
              </w:rPr>
              <w:t>.0.6</w:t>
            </w:r>
            <w:r>
              <w:rPr>
                <w:rFonts w:hint="eastAsia" w:eastAsia="仿宋_GB2312" w:cs="宋体"/>
                <w:kern w:val="0"/>
                <w:sz w:val="24"/>
                <w:highlight w:val="none"/>
              </w:rPr>
              <w:t>条规定要求</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1"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11</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采用智慧管理方式践行光盘行动的</w:t>
            </w:r>
          </w:p>
        </w:tc>
        <w:tc>
          <w:tcPr>
            <w:tcW w:w="5669" w:type="dxa"/>
            <w:shd w:val="clear" w:color="auto" w:fill="auto"/>
            <w:vAlign w:val="center"/>
          </w:tcPr>
          <w:p>
            <w:pPr>
              <w:widowControl/>
              <w:rPr>
                <w:rFonts w:eastAsia="仿宋_GB2312" w:cs="宋体"/>
                <w:kern w:val="0"/>
                <w:sz w:val="24"/>
                <w:highlight w:val="none"/>
              </w:rPr>
            </w:pPr>
            <w:r>
              <w:rPr>
                <w:rFonts w:hint="eastAsia" w:eastAsia="仿宋_GB2312" w:cs="宋体"/>
                <w:kern w:val="0"/>
                <w:sz w:val="24"/>
                <w:highlight w:val="none"/>
              </w:rPr>
              <w:t>项目采用设立宣传标识、安装摄像头、设置专人监督等方式践行光盘行动</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1"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12</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现场水、电等资源采用智慧化管理的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生活区、施工区、办公区安装、使用智能水表、电表</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1"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13</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卫生间污水经化粪池处理达标，并按要求排放等智慧管理的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color w:val="000000"/>
                <w:kern w:val="0"/>
                <w:sz w:val="24"/>
                <w:highlight w:val="none"/>
              </w:rPr>
              <w:t>安装使用污水智能监测设备或污水系统经过特殊处理，减少对周边环境的污染的智慧化管理方式</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14</w:t>
            </w:r>
          </w:p>
        </w:tc>
        <w:tc>
          <w:tcPr>
            <w:tcW w:w="1276" w:type="dxa"/>
            <w:vMerge w:val="restart"/>
            <w:shd w:val="clear" w:color="auto" w:fill="auto"/>
            <w:vAlign w:val="center"/>
          </w:tcPr>
          <w:p>
            <w:pPr>
              <w:widowControl/>
              <w:jc w:val="left"/>
              <w:rPr>
                <w:rFonts w:eastAsia="仿宋_GB2312" w:cs="宋体"/>
                <w:b/>
                <w:bCs/>
                <w:color w:val="000000"/>
                <w:kern w:val="0"/>
                <w:sz w:val="24"/>
                <w:highlight w:val="none"/>
              </w:rPr>
            </w:pPr>
            <w:r>
              <w:rPr>
                <w:rFonts w:hint="eastAsia" w:eastAsia="仿宋_GB2312" w:cs="宋体"/>
                <w:bCs/>
                <w:color w:val="000000"/>
                <w:kern w:val="0"/>
                <w:sz w:val="24"/>
                <w:highlight w:val="none"/>
              </w:rPr>
              <w:t>智慧创卫</w:t>
            </w:r>
          </w:p>
        </w:tc>
        <w:tc>
          <w:tcPr>
            <w:tcW w:w="3353" w:type="dxa"/>
            <w:vMerge w:val="restart"/>
            <w:shd w:val="clear" w:color="auto" w:fill="auto"/>
            <w:vAlign w:val="center"/>
          </w:tcPr>
          <w:p>
            <w:pPr>
              <w:widowControl/>
              <w:jc w:val="left"/>
              <w:rPr>
                <w:rFonts w:eastAsia="仿宋_GB2312" w:cs="宋体"/>
                <w:color w:val="000000"/>
                <w:kern w:val="0"/>
                <w:sz w:val="24"/>
                <w:highlight w:val="none"/>
              </w:rPr>
            </w:pPr>
            <w:r>
              <w:rPr>
                <w:rFonts w:hint="eastAsia" w:eastAsia="仿宋_GB2312"/>
                <w:sz w:val="24"/>
                <w:highlight w:val="none"/>
              </w:rPr>
              <w:t>实施其他智慧创卫做法的</w:t>
            </w:r>
          </w:p>
        </w:tc>
        <w:tc>
          <w:tcPr>
            <w:tcW w:w="5669" w:type="dxa"/>
            <w:vMerge w:val="restart"/>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参建单位结合国家及本市相关管理文件和技术标准予以确认</w:t>
            </w:r>
          </w:p>
        </w:tc>
        <w:tc>
          <w:tcPr>
            <w:tcW w:w="2837" w:type="dxa"/>
            <w:vMerge w:val="restart"/>
            <w:vAlign w:val="center"/>
          </w:tcPr>
          <w:p>
            <w:pPr>
              <w:spacing w:line="300" w:lineRule="exact"/>
              <w:jc w:val="center"/>
              <w:rPr>
                <w:rFonts w:eastAsia="仿宋_GB2312"/>
                <w:sz w:val="24"/>
                <w:highlight w:val="none"/>
              </w:rPr>
            </w:pPr>
            <w:r>
              <w:rPr>
                <w:rFonts w:hint="eastAsia" w:eastAsia="仿宋_GB2312"/>
                <w:sz w:val="24"/>
                <w:highlight w:val="none"/>
              </w:rPr>
              <w:t>每增加1条并经审核通过的，加0.5分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15</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vMerge w:val="continue"/>
            <w:shd w:val="clear" w:color="auto" w:fill="auto"/>
            <w:vAlign w:val="center"/>
          </w:tcPr>
          <w:p>
            <w:pPr>
              <w:widowControl/>
              <w:jc w:val="left"/>
              <w:rPr>
                <w:rFonts w:eastAsia="仿宋_GB2312" w:cs="宋体"/>
                <w:color w:val="000000"/>
                <w:kern w:val="0"/>
                <w:sz w:val="24"/>
                <w:highlight w:val="none"/>
              </w:rPr>
            </w:pPr>
          </w:p>
        </w:tc>
        <w:tc>
          <w:tcPr>
            <w:tcW w:w="5669" w:type="dxa"/>
            <w:vMerge w:val="continue"/>
            <w:shd w:val="clear" w:color="auto" w:fill="auto"/>
            <w:vAlign w:val="center"/>
          </w:tcPr>
          <w:p>
            <w:pPr>
              <w:widowControl/>
              <w:jc w:val="left"/>
              <w:rPr>
                <w:rFonts w:eastAsia="仿宋_GB2312" w:cs="宋体"/>
                <w:kern w:val="0"/>
                <w:sz w:val="24"/>
                <w:highlight w:val="none"/>
              </w:rPr>
            </w:pPr>
          </w:p>
        </w:tc>
        <w:tc>
          <w:tcPr>
            <w:tcW w:w="2837" w:type="dxa"/>
            <w:vMerge w:val="continue"/>
          </w:tcPr>
          <w:p>
            <w:pPr>
              <w:spacing w:line="300" w:lineRule="exact"/>
              <w:jc w:val="left"/>
              <w:rPr>
                <w:rFonts w:eastAsia="仿宋_GB2312"/>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24" w:type="dxa"/>
            <w:shd w:val="clear" w:color="auto" w:fill="auto"/>
            <w:vAlign w:val="center"/>
          </w:tcPr>
          <w:p>
            <w:pPr>
              <w:spacing w:line="100" w:lineRule="exact"/>
              <w:jc w:val="center"/>
              <w:rPr>
                <w:rFonts w:eastAsia="仿宋_GB2312"/>
                <w:sz w:val="24"/>
                <w:highlight w:val="none"/>
              </w:rPr>
            </w:pPr>
            <w:r>
              <w:rPr>
                <w:rFonts w:hint="eastAsia" w:eastAsia="仿宋_GB2312"/>
                <w:sz w:val="24"/>
                <w:highlight w:val="none"/>
              </w:rPr>
              <w:t>.</w:t>
            </w:r>
          </w:p>
          <w:p>
            <w:pPr>
              <w:spacing w:line="100" w:lineRule="exact"/>
              <w:jc w:val="center"/>
              <w:rPr>
                <w:rFonts w:eastAsia="仿宋_GB2312"/>
                <w:sz w:val="24"/>
                <w:highlight w:val="none"/>
              </w:rPr>
            </w:pPr>
            <w:r>
              <w:rPr>
                <w:rFonts w:hint="eastAsia" w:eastAsia="仿宋_GB2312"/>
                <w:sz w:val="24"/>
                <w:highlight w:val="none"/>
              </w:rPr>
              <w:t>.</w:t>
            </w:r>
          </w:p>
          <w:p>
            <w:pPr>
              <w:widowControl/>
              <w:jc w:val="center"/>
              <w:rPr>
                <w:rFonts w:eastAsia="仿宋_GB2312" w:cs="宋体"/>
                <w:color w:val="000000"/>
                <w:kern w:val="0"/>
                <w:sz w:val="24"/>
                <w:highlight w:val="none"/>
              </w:rPr>
            </w:pPr>
            <w:r>
              <w:rPr>
                <w:rFonts w:hint="eastAsia" w:eastAsia="仿宋_GB2312"/>
                <w:sz w:val="24"/>
                <w:highlight w:val="none"/>
              </w:rPr>
              <w:t>.</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vMerge w:val="continue"/>
            <w:shd w:val="clear" w:color="auto" w:fill="auto"/>
            <w:vAlign w:val="center"/>
          </w:tcPr>
          <w:p>
            <w:pPr>
              <w:widowControl/>
              <w:jc w:val="left"/>
              <w:rPr>
                <w:rFonts w:eastAsia="仿宋_GB2312" w:cs="宋体"/>
                <w:color w:val="000000"/>
                <w:kern w:val="0"/>
                <w:sz w:val="24"/>
                <w:highlight w:val="none"/>
              </w:rPr>
            </w:pPr>
          </w:p>
        </w:tc>
        <w:tc>
          <w:tcPr>
            <w:tcW w:w="5669" w:type="dxa"/>
            <w:vMerge w:val="continue"/>
            <w:shd w:val="clear" w:color="auto" w:fill="auto"/>
            <w:vAlign w:val="center"/>
          </w:tcPr>
          <w:p>
            <w:pPr>
              <w:widowControl/>
              <w:jc w:val="left"/>
              <w:rPr>
                <w:rFonts w:eastAsia="仿宋_GB2312" w:cs="宋体"/>
                <w:kern w:val="0"/>
                <w:sz w:val="24"/>
                <w:highlight w:val="none"/>
              </w:rPr>
            </w:pPr>
          </w:p>
        </w:tc>
        <w:tc>
          <w:tcPr>
            <w:tcW w:w="2837" w:type="dxa"/>
            <w:vMerge w:val="continue"/>
          </w:tcPr>
          <w:p>
            <w:pPr>
              <w:spacing w:line="300" w:lineRule="exact"/>
              <w:jc w:val="left"/>
              <w:rPr>
                <w:rFonts w:eastAsia="仿宋_GB2312"/>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1</w:t>
            </w:r>
          </w:p>
        </w:tc>
        <w:tc>
          <w:tcPr>
            <w:tcW w:w="1276" w:type="dxa"/>
            <w:vMerge w:val="restart"/>
            <w:shd w:val="clear" w:color="auto" w:fill="auto"/>
            <w:vAlign w:val="center"/>
          </w:tcPr>
          <w:p>
            <w:pPr>
              <w:jc w:val="center"/>
              <w:rPr>
                <w:rFonts w:eastAsia="仿宋_GB2312" w:cs="宋体"/>
                <w:bCs/>
                <w:color w:val="000000"/>
                <w:kern w:val="0"/>
                <w:sz w:val="24"/>
                <w:highlight w:val="none"/>
              </w:rPr>
            </w:pPr>
            <w:r>
              <w:rPr>
                <w:rFonts w:hint="eastAsia" w:eastAsia="仿宋_GB2312" w:cs="宋体"/>
                <w:bCs/>
                <w:color w:val="000000"/>
                <w:kern w:val="0"/>
                <w:sz w:val="24"/>
                <w:highlight w:val="none"/>
              </w:rPr>
              <w:t>智能建造</w:t>
            </w: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项目设立智能建造管理机构的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项目有智能建造管理机构并有对应的职责分工</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2</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建立涵盖设计、生产、施工、技术服务的全产业链智能建造管理的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有项目集成管理平台</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3</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应用BIM智能化方式建造的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在深化设计、加工生产、施工过程中，应用BIM</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4</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建立装配式建筑部品设计、工业生产与现场施工质量管理协同模式的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有装配式建筑项目集成管理平台；</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5</w:t>
            </w:r>
          </w:p>
        </w:tc>
        <w:tc>
          <w:tcPr>
            <w:tcW w:w="1276" w:type="dxa"/>
            <w:vMerge w:val="continue"/>
            <w:shd w:val="clear" w:color="auto" w:fill="auto"/>
            <w:vAlign w:val="center"/>
          </w:tcPr>
          <w:p>
            <w:pPr>
              <w:jc w:val="center"/>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装配式建筑采用标准化、立体化、工厂化智能建造方式的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装配式建筑采用标准化、立体化、工厂化智能建造方式</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6</w:t>
            </w:r>
          </w:p>
        </w:tc>
        <w:tc>
          <w:tcPr>
            <w:tcW w:w="1276" w:type="dxa"/>
            <w:vMerge w:val="restart"/>
            <w:shd w:val="clear" w:color="auto" w:fill="auto"/>
            <w:vAlign w:val="center"/>
          </w:tcPr>
          <w:p>
            <w:pPr>
              <w:widowControl/>
              <w:jc w:val="center"/>
              <w:rPr>
                <w:rFonts w:eastAsia="仿宋_GB2312" w:cs="宋体"/>
                <w:bCs/>
                <w:color w:val="000000"/>
                <w:kern w:val="0"/>
                <w:sz w:val="24"/>
                <w:highlight w:val="none"/>
              </w:rPr>
            </w:pPr>
            <w:r>
              <w:rPr>
                <w:rFonts w:hint="eastAsia" w:eastAsia="仿宋_GB2312" w:cs="宋体"/>
                <w:bCs/>
                <w:color w:val="000000"/>
                <w:kern w:val="0"/>
                <w:sz w:val="24"/>
                <w:highlight w:val="none"/>
              </w:rPr>
              <w:t>智能建造</w:t>
            </w: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建造过程中安装传感器、二维码识别的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项目在建造过程中应用二维码、无线射频等物联网技术</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7</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shd w:val="clear" w:color="auto" w:fill="auto"/>
            <w:vAlign w:val="center"/>
          </w:tcPr>
          <w:p>
            <w:pPr>
              <w:widowControl/>
              <w:jc w:val="left"/>
              <w:rPr>
                <w:rFonts w:eastAsia="仿宋_GB2312" w:cs="宋体"/>
                <w:color w:val="000000"/>
                <w:kern w:val="0"/>
                <w:sz w:val="24"/>
                <w:highlight w:val="none"/>
              </w:rPr>
            </w:pPr>
            <w:r>
              <w:rPr>
                <w:rFonts w:hint="eastAsia" w:eastAsia="仿宋_GB2312" w:cs="宋体"/>
                <w:color w:val="000000"/>
                <w:kern w:val="0"/>
                <w:sz w:val="24"/>
                <w:highlight w:val="none"/>
              </w:rPr>
              <w:t>钢结构构件、预制混凝土构件应用智能化建造生产的</w:t>
            </w:r>
          </w:p>
        </w:tc>
        <w:tc>
          <w:tcPr>
            <w:tcW w:w="5669" w:type="dxa"/>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项目采用模型出图、数字化加工</w:t>
            </w:r>
          </w:p>
        </w:tc>
        <w:tc>
          <w:tcPr>
            <w:tcW w:w="2837" w:type="dxa"/>
            <w:vAlign w:val="center"/>
          </w:tcPr>
          <w:p>
            <w:pPr>
              <w:spacing w:line="300" w:lineRule="exact"/>
              <w:jc w:val="center"/>
              <w:rPr>
                <w:rFonts w:eastAsia="仿宋_GB2312"/>
                <w:sz w:val="24"/>
                <w:highlight w:val="none"/>
              </w:rPr>
            </w:pPr>
            <w:r>
              <w:rPr>
                <w:rFonts w:hint="eastAsia" w:eastAsia="仿宋_GB2312"/>
                <w:sz w:val="24"/>
                <w:highlight w:val="none"/>
              </w:rPr>
              <w:t>符合认定关键点要求的，加0.5分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8</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vMerge w:val="restart"/>
            <w:shd w:val="clear" w:color="auto" w:fill="auto"/>
            <w:vAlign w:val="center"/>
          </w:tcPr>
          <w:p>
            <w:pPr>
              <w:widowControl/>
              <w:jc w:val="left"/>
              <w:rPr>
                <w:rFonts w:eastAsia="仿宋_GB2312" w:cs="宋体"/>
                <w:color w:val="000000"/>
                <w:kern w:val="0"/>
                <w:sz w:val="24"/>
                <w:highlight w:val="none"/>
              </w:rPr>
            </w:pPr>
            <w:r>
              <w:rPr>
                <w:rFonts w:hint="eastAsia" w:eastAsia="仿宋_GB2312"/>
                <w:sz w:val="24"/>
                <w:highlight w:val="none"/>
              </w:rPr>
              <w:t>实施其他智能建造做法的</w:t>
            </w:r>
          </w:p>
        </w:tc>
        <w:tc>
          <w:tcPr>
            <w:tcW w:w="5669" w:type="dxa"/>
            <w:vMerge w:val="restart"/>
            <w:shd w:val="clear" w:color="auto" w:fill="auto"/>
            <w:vAlign w:val="center"/>
          </w:tcPr>
          <w:p>
            <w:pPr>
              <w:widowControl/>
              <w:jc w:val="left"/>
              <w:rPr>
                <w:rFonts w:eastAsia="仿宋_GB2312" w:cs="宋体"/>
                <w:kern w:val="0"/>
                <w:sz w:val="24"/>
                <w:highlight w:val="none"/>
              </w:rPr>
            </w:pPr>
            <w:r>
              <w:rPr>
                <w:rFonts w:hint="eastAsia" w:eastAsia="仿宋_GB2312" w:cs="宋体"/>
                <w:kern w:val="0"/>
                <w:sz w:val="24"/>
                <w:highlight w:val="none"/>
              </w:rPr>
              <w:t>参建单位结合国家及本市相关管理文件和技术标准予以确认</w:t>
            </w:r>
          </w:p>
        </w:tc>
        <w:tc>
          <w:tcPr>
            <w:tcW w:w="2837" w:type="dxa"/>
            <w:vMerge w:val="restart"/>
            <w:vAlign w:val="center"/>
          </w:tcPr>
          <w:p>
            <w:pPr>
              <w:widowControl/>
              <w:jc w:val="center"/>
              <w:rPr>
                <w:rFonts w:eastAsia="仿宋_GB2312" w:cs="宋体"/>
                <w:kern w:val="0"/>
                <w:sz w:val="24"/>
                <w:highlight w:val="none"/>
              </w:rPr>
            </w:pPr>
            <w:r>
              <w:rPr>
                <w:rFonts w:hint="eastAsia" w:eastAsia="仿宋_GB2312"/>
                <w:sz w:val="24"/>
                <w:highlight w:val="none"/>
              </w:rPr>
              <w:t>每增加1条并经审核通过的，加0.5分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9</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vMerge w:val="continue"/>
            <w:shd w:val="clear" w:color="auto" w:fill="auto"/>
            <w:vAlign w:val="center"/>
          </w:tcPr>
          <w:p>
            <w:pPr>
              <w:widowControl/>
              <w:jc w:val="left"/>
              <w:rPr>
                <w:rFonts w:eastAsia="仿宋_GB2312" w:cs="宋体"/>
                <w:color w:val="000000"/>
                <w:kern w:val="0"/>
                <w:sz w:val="24"/>
                <w:highlight w:val="none"/>
              </w:rPr>
            </w:pPr>
          </w:p>
        </w:tc>
        <w:tc>
          <w:tcPr>
            <w:tcW w:w="5669" w:type="dxa"/>
            <w:vMerge w:val="continue"/>
            <w:shd w:val="clear" w:color="auto" w:fill="auto"/>
            <w:vAlign w:val="center"/>
          </w:tcPr>
          <w:p>
            <w:pPr>
              <w:widowControl/>
              <w:jc w:val="left"/>
              <w:rPr>
                <w:rFonts w:eastAsia="仿宋_GB2312" w:cs="宋体"/>
                <w:kern w:val="0"/>
                <w:sz w:val="24"/>
                <w:highlight w:val="none"/>
              </w:rPr>
            </w:pPr>
          </w:p>
        </w:tc>
        <w:tc>
          <w:tcPr>
            <w:tcW w:w="2837" w:type="dxa"/>
            <w:vMerge w:val="continue"/>
          </w:tcPr>
          <w:p>
            <w:pPr>
              <w:widowControl/>
              <w:jc w:val="left"/>
              <w:rPr>
                <w:rFonts w:eastAsia="仿宋_GB2312" w:cs="宋体"/>
                <w:kern w:val="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24" w:type="dxa"/>
            <w:shd w:val="clear" w:color="auto" w:fill="auto"/>
            <w:vAlign w:val="center"/>
          </w:tcPr>
          <w:p>
            <w:pPr>
              <w:spacing w:line="100" w:lineRule="exact"/>
              <w:jc w:val="center"/>
              <w:rPr>
                <w:rFonts w:eastAsia="仿宋_GB2312"/>
                <w:sz w:val="24"/>
                <w:highlight w:val="none"/>
              </w:rPr>
            </w:pPr>
          </w:p>
          <w:p>
            <w:pPr>
              <w:spacing w:line="100" w:lineRule="exact"/>
              <w:jc w:val="center"/>
              <w:rPr>
                <w:rFonts w:eastAsia="仿宋_GB2312"/>
                <w:sz w:val="24"/>
                <w:highlight w:val="none"/>
              </w:rPr>
            </w:pPr>
            <w:r>
              <w:rPr>
                <w:rFonts w:hint="eastAsia" w:eastAsia="仿宋_GB2312"/>
                <w:sz w:val="24"/>
                <w:highlight w:val="none"/>
              </w:rPr>
              <w:t>.</w:t>
            </w:r>
          </w:p>
          <w:p>
            <w:pPr>
              <w:widowControl/>
              <w:jc w:val="center"/>
              <w:rPr>
                <w:rFonts w:eastAsia="仿宋_GB2312" w:cs="宋体"/>
                <w:color w:val="000000"/>
                <w:kern w:val="0"/>
                <w:sz w:val="24"/>
                <w:highlight w:val="none"/>
              </w:rPr>
            </w:pPr>
            <w:r>
              <w:rPr>
                <w:rFonts w:hint="eastAsia" w:eastAsia="仿宋_GB2312"/>
                <w:sz w:val="24"/>
                <w:highlight w:val="none"/>
              </w:rPr>
              <w:t>.</w:t>
            </w:r>
          </w:p>
        </w:tc>
        <w:tc>
          <w:tcPr>
            <w:tcW w:w="1276" w:type="dxa"/>
            <w:vMerge w:val="continue"/>
            <w:shd w:val="clear" w:color="auto" w:fill="auto"/>
            <w:vAlign w:val="center"/>
          </w:tcPr>
          <w:p>
            <w:pPr>
              <w:widowControl/>
              <w:jc w:val="left"/>
              <w:rPr>
                <w:rFonts w:eastAsia="仿宋_GB2312" w:cs="宋体"/>
                <w:b/>
                <w:bCs/>
                <w:color w:val="000000"/>
                <w:kern w:val="0"/>
                <w:sz w:val="24"/>
                <w:highlight w:val="none"/>
              </w:rPr>
            </w:pPr>
          </w:p>
        </w:tc>
        <w:tc>
          <w:tcPr>
            <w:tcW w:w="3353" w:type="dxa"/>
            <w:vMerge w:val="continue"/>
            <w:shd w:val="clear" w:color="auto" w:fill="auto"/>
            <w:vAlign w:val="center"/>
          </w:tcPr>
          <w:p>
            <w:pPr>
              <w:widowControl/>
              <w:jc w:val="left"/>
              <w:rPr>
                <w:rFonts w:eastAsia="仿宋_GB2312" w:cs="宋体"/>
                <w:color w:val="000000"/>
                <w:kern w:val="0"/>
                <w:sz w:val="24"/>
                <w:highlight w:val="none"/>
              </w:rPr>
            </w:pPr>
          </w:p>
        </w:tc>
        <w:tc>
          <w:tcPr>
            <w:tcW w:w="5669" w:type="dxa"/>
            <w:vMerge w:val="continue"/>
            <w:shd w:val="clear" w:color="auto" w:fill="auto"/>
            <w:vAlign w:val="center"/>
          </w:tcPr>
          <w:p>
            <w:pPr>
              <w:widowControl/>
              <w:jc w:val="left"/>
              <w:rPr>
                <w:rFonts w:eastAsia="仿宋_GB2312" w:cs="宋体"/>
                <w:kern w:val="0"/>
                <w:sz w:val="24"/>
                <w:highlight w:val="none"/>
              </w:rPr>
            </w:pPr>
          </w:p>
        </w:tc>
        <w:tc>
          <w:tcPr>
            <w:tcW w:w="2837" w:type="dxa"/>
            <w:vMerge w:val="continue"/>
          </w:tcPr>
          <w:p>
            <w:pPr>
              <w:widowControl/>
              <w:jc w:val="left"/>
              <w:rPr>
                <w:rFonts w:eastAsia="仿宋_GB2312" w:cs="宋体"/>
                <w:kern w:val="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724" w:type="dxa"/>
            <w:shd w:val="clear" w:color="auto" w:fill="auto"/>
            <w:vAlign w:val="center"/>
          </w:tcPr>
          <w:p>
            <w:pPr>
              <w:widowControl/>
              <w:jc w:val="center"/>
              <w:rPr>
                <w:rFonts w:eastAsia="仿宋_GB2312" w:cs="宋体"/>
                <w:color w:val="000000"/>
                <w:kern w:val="0"/>
                <w:sz w:val="24"/>
                <w:highlight w:val="none"/>
              </w:rPr>
            </w:pPr>
            <w:r>
              <w:rPr>
                <w:rFonts w:hint="eastAsia" w:eastAsia="仿宋_GB2312" w:cs="宋体"/>
                <w:color w:val="000000"/>
                <w:kern w:val="0"/>
                <w:sz w:val="24"/>
                <w:highlight w:val="none"/>
              </w:rPr>
              <w:t>备注</w:t>
            </w:r>
          </w:p>
        </w:tc>
        <w:tc>
          <w:tcPr>
            <w:tcW w:w="13135" w:type="dxa"/>
            <w:gridSpan w:val="4"/>
            <w:vAlign w:val="center"/>
          </w:tcPr>
          <w:p>
            <w:pPr>
              <w:widowControl/>
              <w:jc w:val="left"/>
              <w:rPr>
                <w:rFonts w:eastAsia="仿宋_GB2312" w:cs="宋体"/>
                <w:kern w:val="0"/>
                <w:sz w:val="24"/>
                <w:highlight w:val="none"/>
              </w:rPr>
            </w:pPr>
            <w:r>
              <w:rPr>
                <w:rFonts w:hint="eastAsia" w:eastAsia="仿宋_GB2312" w:cs="宋体"/>
                <w:kern w:val="0"/>
                <w:sz w:val="24"/>
                <w:highlight w:val="none"/>
              </w:rPr>
              <w:t>当项目已实施完成智慧工地科技创新做法，现场不具备认定条件时，应能提供证明本项目实施智慧工地科技创新做法的影像资料。</w:t>
            </w:r>
          </w:p>
        </w:tc>
      </w:tr>
    </w:tbl>
    <w:p>
      <w:pPr>
        <w:spacing w:line="560" w:lineRule="exact"/>
        <w:ind w:left="425" w:hanging="424" w:hangingChars="177"/>
        <w:rPr>
          <w:rFonts w:ascii="仿宋_GB2312" w:eastAsia="仿宋_GB2312"/>
          <w:sz w:val="24"/>
          <w:highlight w:val="none"/>
        </w:rPr>
      </w:pPr>
      <w:r>
        <w:rPr>
          <w:rFonts w:hint="eastAsia" w:ascii="仿宋_GB2312" w:eastAsia="仿宋_GB2312"/>
          <w:sz w:val="24"/>
          <w:highlight w:val="none"/>
        </w:rPr>
        <w:t>注：《北京市房屋建筑和市政基础设施工程智慧工地做法认定关键点》正式印发后，市住房城乡建设委将在北京市房屋建筑和市政基础设施工程质量风险分级管控平台发布应用，并视智慧工地建设情况适时更新认定关键点及鼓励加分分值，不再另行发文通知。</w:t>
      </w:r>
    </w:p>
    <w:bookmarkEnd w:id="0"/>
    <w:sectPr>
      <w:headerReference r:id="rId3" w:type="default"/>
      <w:footerReference r:id="rId4" w:type="default"/>
      <w:pgSz w:w="16838" w:h="11906" w:orient="landscape"/>
      <w:pgMar w:top="1588" w:right="1701" w:bottom="1474"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方正小标宋简体">
    <w:altName w:val="方正舒体"/>
    <w:panose1 w:val="02010601030101010101"/>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fldChar w:fldCharType="begin"/>
    </w:r>
    <w:r>
      <w:instrText xml:space="preserve"> PAGE   \* MERGEFORMAT </w:instrText>
    </w:r>
    <w:r>
      <w:fldChar w:fldCharType="separate"/>
    </w:r>
    <w:r>
      <w:rPr>
        <w:lang w:val="zh-CN"/>
      </w:rPr>
      <w:t>1</w:t>
    </w:r>
    <w:r>
      <w:rPr>
        <w:lang w:val="zh-CN"/>
      </w:rP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4EA2"/>
    <w:rsid w:val="00011057"/>
    <w:rsid w:val="00014DC8"/>
    <w:rsid w:val="000740F0"/>
    <w:rsid w:val="00080D6C"/>
    <w:rsid w:val="000A2AC5"/>
    <w:rsid w:val="00120697"/>
    <w:rsid w:val="00127300"/>
    <w:rsid w:val="00165A08"/>
    <w:rsid w:val="001B66CE"/>
    <w:rsid w:val="001C5323"/>
    <w:rsid w:val="001C6583"/>
    <w:rsid w:val="001F432E"/>
    <w:rsid w:val="00216AFF"/>
    <w:rsid w:val="002634D9"/>
    <w:rsid w:val="002865D2"/>
    <w:rsid w:val="002D5FC6"/>
    <w:rsid w:val="002F482E"/>
    <w:rsid w:val="00333B51"/>
    <w:rsid w:val="00345685"/>
    <w:rsid w:val="00353761"/>
    <w:rsid w:val="00366A6C"/>
    <w:rsid w:val="003C7EFA"/>
    <w:rsid w:val="003E5F4D"/>
    <w:rsid w:val="003F56C8"/>
    <w:rsid w:val="00422D33"/>
    <w:rsid w:val="004847EE"/>
    <w:rsid w:val="004A6788"/>
    <w:rsid w:val="004B5986"/>
    <w:rsid w:val="004C7840"/>
    <w:rsid w:val="004E36C3"/>
    <w:rsid w:val="00501CD2"/>
    <w:rsid w:val="0052535C"/>
    <w:rsid w:val="00547C0E"/>
    <w:rsid w:val="005A487E"/>
    <w:rsid w:val="005C5A85"/>
    <w:rsid w:val="006133AA"/>
    <w:rsid w:val="00626231"/>
    <w:rsid w:val="00656479"/>
    <w:rsid w:val="00673900"/>
    <w:rsid w:val="006D240E"/>
    <w:rsid w:val="006E0862"/>
    <w:rsid w:val="006F07F4"/>
    <w:rsid w:val="007023E4"/>
    <w:rsid w:val="00702587"/>
    <w:rsid w:val="007142BF"/>
    <w:rsid w:val="0071639C"/>
    <w:rsid w:val="0072302A"/>
    <w:rsid w:val="00730954"/>
    <w:rsid w:val="00731BB0"/>
    <w:rsid w:val="00754EA2"/>
    <w:rsid w:val="007601BA"/>
    <w:rsid w:val="00783153"/>
    <w:rsid w:val="007940BD"/>
    <w:rsid w:val="007A2066"/>
    <w:rsid w:val="007A2E99"/>
    <w:rsid w:val="007B237A"/>
    <w:rsid w:val="007B6A92"/>
    <w:rsid w:val="007C65BE"/>
    <w:rsid w:val="007D19ED"/>
    <w:rsid w:val="00831357"/>
    <w:rsid w:val="008322DF"/>
    <w:rsid w:val="00881627"/>
    <w:rsid w:val="008908A0"/>
    <w:rsid w:val="008A5740"/>
    <w:rsid w:val="008E686E"/>
    <w:rsid w:val="008F1149"/>
    <w:rsid w:val="009201B9"/>
    <w:rsid w:val="00963AA6"/>
    <w:rsid w:val="00966D7B"/>
    <w:rsid w:val="009A5CA5"/>
    <w:rsid w:val="00A16566"/>
    <w:rsid w:val="00A23E47"/>
    <w:rsid w:val="00A4654E"/>
    <w:rsid w:val="00A548B2"/>
    <w:rsid w:val="00AA0DDA"/>
    <w:rsid w:val="00AA7752"/>
    <w:rsid w:val="00AE11EA"/>
    <w:rsid w:val="00B22F10"/>
    <w:rsid w:val="00B36040"/>
    <w:rsid w:val="00B5235D"/>
    <w:rsid w:val="00B631C9"/>
    <w:rsid w:val="00B74B13"/>
    <w:rsid w:val="00B8307A"/>
    <w:rsid w:val="00B94892"/>
    <w:rsid w:val="00BD4B7D"/>
    <w:rsid w:val="00BF1CCE"/>
    <w:rsid w:val="00C01CA8"/>
    <w:rsid w:val="00C23CA4"/>
    <w:rsid w:val="00CA5B17"/>
    <w:rsid w:val="00CB4D36"/>
    <w:rsid w:val="00D134FE"/>
    <w:rsid w:val="00D40595"/>
    <w:rsid w:val="00D40DE6"/>
    <w:rsid w:val="00D515FA"/>
    <w:rsid w:val="00D65698"/>
    <w:rsid w:val="00D93C50"/>
    <w:rsid w:val="00E209E9"/>
    <w:rsid w:val="00E2381B"/>
    <w:rsid w:val="00E23E9A"/>
    <w:rsid w:val="00E32E45"/>
    <w:rsid w:val="00E81C01"/>
    <w:rsid w:val="00E95610"/>
    <w:rsid w:val="00EB0492"/>
    <w:rsid w:val="00EC6FC7"/>
    <w:rsid w:val="00ED05A2"/>
    <w:rsid w:val="00EF348E"/>
    <w:rsid w:val="00F715FF"/>
    <w:rsid w:val="00F947C6"/>
    <w:rsid w:val="00FA3593"/>
    <w:rsid w:val="00FC55CD"/>
    <w:rsid w:val="00FD6166"/>
    <w:rsid w:val="00FD7E4B"/>
    <w:rsid w:val="12360CA8"/>
    <w:rsid w:val="6B7975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3"/>
    <w:qFormat/>
    <w:uiPriority w:val="0"/>
    <w:pPr>
      <w:keepNext/>
      <w:keepLines/>
      <w:spacing w:before="340" w:after="330" w:line="578" w:lineRule="auto"/>
      <w:outlineLvl w:val="0"/>
    </w:pPr>
    <w:rPr>
      <w:rFonts w:ascii="Calibri" w:hAnsi="Calibri"/>
      <w:b/>
      <w:bCs/>
      <w:kern w:val="44"/>
      <w:sz w:val="44"/>
      <w:szCs w:val="44"/>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alloon Text"/>
    <w:basedOn w:val="1"/>
    <w:semiHidden/>
    <w:qFormat/>
    <w:uiPriority w:val="0"/>
    <w:rPr>
      <w:sz w:val="18"/>
      <w:szCs w:val="18"/>
    </w:rPr>
  </w:style>
  <w:style w:type="paragraph" w:styleId="4">
    <w:name w:val="footer"/>
    <w:basedOn w:val="1"/>
    <w:link w:val="16"/>
    <w:qFormat/>
    <w:uiPriority w:val="99"/>
    <w:pPr>
      <w:tabs>
        <w:tab w:val="center" w:pos="4153"/>
        <w:tab w:val="right" w:pos="8306"/>
      </w:tabs>
      <w:snapToGrid w:val="0"/>
      <w:jc w:val="left"/>
    </w:pPr>
    <w:rPr>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widowControl/>
      <w:spacing w:before="100" w:beforeAutospacing="1" w:after="100" w:afterAutospacing="1"/>
      <w:jc w:val="left"/>
    </w:pPr>
    <w:rPr>
      <w:rFonts w:ascii="宋体" w:hAnsi="宋体"/>
      <w:kern w:val="0"/>
      <w:sz w:val="24"/>
    </w:rPr>
  </w:style>
  <w:style w:type="character" w:styleId="9">
    <w:name w:val="Strong"/>
    <w:qFormat/>
    <w:uiPriority w:val="0"/>
    <w:rPr>
      <w:b/>
      <w:bCs/>
    </w:rPr>
  </w:style>
  <w:style w:type="character" w:styleId="10">
    <w:name w:val="Hyperlink"/>
    <w:unhideWhenUsed/>
    <w:uiPriority w:val="99"/>
    <w:rPr>
      <w:color w:val="0000FF"/>
      <w:u w:val="single"/>
    </w:rPr>
  </w:style>
  <w:style w:type="paragraph" w:customStyle="1" w:styleId="11">
    <w:name w:val="Char1 Char Char Char"/>
    <w:basedOn w:val="1"/>
    <w:qFormat/>
    <w:uiPriority w:val="0"/>
    <w:rPr>
      <w:rFonts w:ascii="Tahoma" w:hAnsi="Tahoma"/>
      <w:sz w:val="24"/>
      <w:szCs w:val="20"/>
    </w:rPr>
  </w:style>
  <w:style w:type="paragraph" w:customStyle="1" w:styleId="12">
    <w:name w:val="表格内容"/>
    <w:basedOn w:val="1"/>
    <w:qFormat/>
    <w:uiPriority w:val="0"/>
    <w:pPr>
      <w:suppressLineNumbers/>
      <w:suppressAutoHyphens/>
    </w:pPr>
    <w:rPr>
      <w:rFonts w:hint="eastAsia"/>
      <w:kern w:val="1"/>
      <w:szCs w:val="20"/>
    </w:rPr>
  </w:style>
  <w:style w:type="character" w:customStyle="1" w:styleId="13">
    <w:name w:val="标题 1 Char"/>
    <w:link w:val="2"/>
    <w:qFormat/>
    <w:uiPriority w:val="0"/>
    <w:rPr>
      <w:rFonts w:ascii="Calibri" w:hAnsi="Calibri"/>
      <w:b/>
      <w:bCs/>
      <w:kern w:val="44"/>
      <w:sz w:val="44"/>
      <w:szCs w:val="44"/>
    </w:rPr>
  </w:style>
  <w:style w:type="paragraph" w:customStyle="1" w:styleId="14">
    <w:name w:val="文章"/>
    <w:basedOn w:val="1"/>
    <w:qFormat/>
    <w:uiPriority w:val="0"/>
    <w:pPr>
      <w:spacing w:beforeLines="50" w:line="360" w:lineRule="auto"/>
      <w:ind w:firstLine="480" w:firstLineChars="200"/>
    </w:pPr>
    <w:rPr>
      <w:rFonts w:hint="eastAsia" w:ascii="Calibri" w:hAnsi="Calibri"/>
      <w:kern w:val="1"/>
      <w:sz w:val="24"/>
    </w:rPr>
  </w:style>
  <w:style w:type="paragraph" w:customStyle="1" w:styleId="15">
    <w:name w:val="无间隔1"/>
    <w:basedOn w:val="1"/>
    <w:uiPriority w:val="0"/>
    <w:pPr>
      <w:widowControl/>
      <w:jc w:val="left"/>
    </w:pPr>
    <w:rPr>
      <w:rFonts w:ascii="Calibri" w:hAnsi="Calibri"/>
      <w:kern w:val="0"/>
      <w:sz w:val="24"/>
      <w:szCs w:val="32"/>
      <w:lang w:eastAsia="en-US"/>
    </w:rPr>
  </w:style>
  <w:style w:type="character" w:customStyle="1" w:styleId="16">
    <w:name w:val="页脚 Char"/>
    <w:link w:val="4"/>
    <w:uiPriority w:val="99"/>
    <w:rPr>
      <w:kern w:val="2"/>
      <w:sz w:val="18"/>
      <w:szCs w:val="18"/>
    </w:rPr>
  </w:style>
  <w:style w:type="paragraph" w:customStyle="1" w:styleId="17">
    <w:name w:val="正文1"/>
    <w:basedOn w:val="1"/>
    <w:qFormat/>
    <w:uiPriority w:val="99"/>
    <w:pPr>
      <w:ind w:firstLine="1696" w:firstLineChars="200"/>
    </w:pPr>
    <w:rPr>
      <w:rFonts w:ascii="Calibri" w:hAnsi="Calibri"/>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26524;&#20122;&#28982;\2021&#21457;&#25991;\3.&#20415;&#20989;\&#20415;&#20989;&#65288;&#27169;&#26495;&#65289;.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69DD9EB-EA9F-4B8F-9431-8E3B0EAE6216}">
  <ds:schemaRefs/>
</ds:datastoreItem>
</file>

<file path=docProps/app.xml><?xml version="1.0" encoding="utf-8"?>
<Properties xmlns="http://schemas.openxmlformats.org/officeDocument/2006/extended-properties" xmlns:vt="http://schemas.openxmlformats.org/officeDocument/2006/docPropsVTypes">
  <Template>便函（模板）</Template>
  <Company>MC SYSTEM</Company>
  <Pages>14</Pages>
  <Words>987</Words>
  <Characters>5629</Characters>
  <Lines>46</Lines>
  <Paragraphs>13</Paragraphs>
  <TotalTime>59</TotalTime>
  <ScaleCrop>false</ScaleCrop>
  <LinksUpToDate>false</LinksUpToDate>
  <CharactersWithSpaces>6603</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2021-09-06T01:22:00Z</dcterms:created>
  <dc:creator>果亚然</dc:creator>
  <cp:lastModifiedBy>快乐</cp:lastModifiedBy>
  <cp:lastPrinted>2021-09-08T02:32:00Z</cp:lastPrinted>
  <dcterms:modified xsi:type="dcterms:W3CDTF">2021-09-30T08:37:28Z</dcterms:modified>
  <dc:title>北京市建设委员会</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D73A5634BFC042A9B619247D62137E5B</vt:lpwstr>
  </property>
</Properties>
</file>