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2"/>
        <w:spacing w:beforeLines="0" w:afterLines="0"/>
        <w:jc w:val="center"/>
        <w:outlineLvl w:val="9"/>
        <w:rPr>
          <w:b/>
          <w:color w:val="323232" w:themeColor="text1"/>
          <w:sz w:val="84"/>
          <w:szCs w:val="84"/>
          <w14:textFill>
            <w14:solidFill>
              <w14:schemeClr w14:val="tx1"/>
            </w14:solidFill>
          </w14:textFill>
        </w:rPr>
      </w:pPr>
      <w:bookmarkStart w:id="0" w:name="_Toc27386"/>
      <w:bookmarkStart w:id="1" w:name="_Toc18572"/>
      <w:bookmarkStart w:id="2" w:name="_Toc3319"/>
      <w:bookmarkStart w:id="3" w:name="_Toc3548"/>
      <w:bookmarkStart w:id="4" w:name="_Toc23422"/>
      <w:bookmarkStart w:id="5" w:name="_Toc2517"/>
      <w:bookmarkStart w:id="6" w:name="_Toc29991"/>
      <w:bookmarkStart w:id="7" w:name="_Toc14248"/>
      <w:bookmarkStart w:id="8" w:name="_Toc16788"/>
      <w:bookmarkStart w:id="9" w:name="_Toc26633"/>
      <w:bookmarkStart w:id="10" w:name="_Toc5932"/>
      <w:bookmarkStart w:id="11" w:name="_Toc12489"/>
      <w:bookmarkStart w:id="12" w:name="_Toc30940"/>
      <w:bookmarkStart w:id="13" w:name="_Toc23891"/>
      <w:bookmarkStart w:id="14" w:name="_Toc9698"/>
      <w:bookmarkStart w:id="15" w:name="_Toc9476"/>
      <w:bookmarkStart w:id="16" w:name="_Toc19507"/>
      <w:bookmarkStart w:id="17" w:name="_Toc3640"/>
      <w:bookmarkStart w:id="823" w:name="_GoBack"/>
      <w:bookmarkEnd w:id="823"/>
      <w:r>
        <w:rPr>
          <w:rFonts w:eastAsia="黑体"/>
          <w:color w:val="323232" w:themeColor="text1"/>
          <w:sz w:val="32"/>
          <w:szCs w:val="32"/>
          <w14:textFill>
            <w14:solidFill>
              <w14:schemeClr w14:val="tx1"/>
            </w14:solidFill>
          </w14:textFill>
        </w:rPr>
        <w:t>福建省工程建设地方标准</w:t>
      </w:r>
      <w:r>
        <w:rPr>
          <w:rFonts w:hint="eastAsia" w:eastAsia="黑体"/>
          <w:color w:val="323232" w:themeColor="text1"/>
          <w:sz w:val="32"/>
          <w:szCs w:val="32"/>
          <w14:textFill>
            <w14:solidFill>
              <w14:schemeClr w14:val="tx1"/>
            </w14:solidFill>
          </w14:textFill>
        </w:rPr>
        <w:t xml:space="preserve">  </w:t>
      </w:r>
      <w:r>
        <w:rPr>
          <w:rFonts w:eastAsia="黑体"/>
          <w:b/>
          <w:bCs/>
          <w:color w:val="323232" w:themeColor="text1"/>
          <w:sz w:val="84"/>
          <w:szCs w:val="84"/>
          <w14:textFill>
            <w14:solidFill>
              <w14:schemeClr w14:val="tx1"/>
            </w14:solidFill>
          </w14:textFill>
        </w:rPr>
        <w:t>DB</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pPr>
        <w:pStyle w:val="22"/>
        <w:spacing w:beforeLines="0" w:afterLines="0"/>
        <w:outlineLvl w:val="9"/>
        <w:rPr>
          <w:b/>
          <w:color w:val="323232" w:themeColor="text1"/>
          <w14:textFill>
            <w14:solidFill>
              <w14:schemeClr w14:val="tx1"/>
            </w14:solidFill>
          </w14:textFill>
        </w:rPr>
      </w:pPr>
      <w:r>
        <w:rPr>
          <w:b/>
          <w:color w:val="323232" w:themeColor="text1"/>
          <w14:textFill>
            <w14:solidFill>
              <w14:schemeClr w14:val="tx1"/>
            </w14:solidFill>
          </w14:textFill>
        </w:rPr>
        <w:t xml:space="preserve">                                                  </w:t>
      </w:r>
      <w:bookmarkStart w:id="18" w:name="_Toc275796179"/>
    </w:p>
    <w:p>
      <w:pPr>
        <w:pStyle w:val="22"/>
        <w:spacing w:beforeLines="0" w:afterLines="0" w:line="360" w:lineRule="auto"/>
        <w:jc w:val="right"/>
        <w:outlineLvl w:val="9"/>
        <w:rPr>
          <w:rFonts w:eastAsia="黑体"/>
          <w:spacing w:val="11"/>
          <w:sz w:val="21"/>
        </w:rPr>
      </w:pPr>
      <w:bookmarkStart w:id="19" w:name="_Toc7197"/>
      <w:bookmarkStart w:id="20" w:name="_Toc3485"/>
      <w:bookmarkStart w:id="21" w:name="_Toc403379956"/>
      <w:bookmarkStart w:id="22" w:name="_Toc18022"/>
      <w:bookmarkStart w:id="23" w:name="_Toc9095"/>
      <w:bookmarkStart w:id="24" w:name="_Toc1054"/>
      <w:bookmarkStart w:id="25" w:name="_Toc29607"/>
      <w:bookmarkStart w:id="26" w:name="_Toc2843"/>
      <w:bookmarkStart w:id="27" w:name="_Toc7575"/>
      <w:bookmarkStart w:id="28" w:name="_Toc22169"/>
      <w:bookmarkStart w:id="29" w:name="_Toc31085"/>
      <w:bookmarkStart w:id="30" w:name="_Toc13225"/>
      <w:bookmarkStart w:id="31" w:name="_Toc29926"/>
      <w:bookmarkStart w:id="32" w:name="_Toc29589"/>
      <w:bookmarkStart w:id="33" w:name="_Toc25856"/>
      <w:bookmarkStart w:id="34" w:name="_Toc11360"/>
      <w:bookmarkStart w:id="35" w:name="_Toc13009"/>
      <w:bookmarkStart w:id="36" w:name="_Toc9585"/>
      <w:bookmarkStart w:id="37" w:name="_Toc6272"/>
      <w:r>
        <w:rPr>
          <w:rFonts w:eastAsia="黑体"/>
          <w:spacing w:val="11"/>
          <w:sz w:val="21"/>
        </w:rPr>
        <w:t>工程建设地方标准编号：DBJ 13</w:t>
      </w:r>
      <w:r>
        <w:rPr>
          <w:rFonts w:hint="eastAsia" w:eastAsia="黑体"/>
          <w:spacing w:val="11"/>
          <w:sz w:val="21"/>
        </w:rPr>
        <w:t>-×××-</w:t>
      </w:r>
      <w:bookmarkEnd w:id="18"/>
      <w:bookmarkEnd w:id="19"/>
      <w:bookmarkEnd w:id="20"/>
      <w:bookmarkEnd w:id="21"/>
      <w:bookmarkEnd w:id="22"/>
      <w:r>
        <w:rPr>
          <w:rFonts w:hint="eastAsia" w:eastAsia="黑体"/>
          <w:spacing w:val="11"/>
          <w:sz w:val="21"/>
        </w:rPr>
        <w:t>2022</w:t>
      </w:r>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pPr>
        <w:adjustRightInd w:val="0"/>
        <w:snapToGrid w:val="0"/>
        <w:spacing w:beforeLines="0" w:afterLines="0" w:line="240" w:lineRule="auto"/>
        <w:jc w:val="center"/>
        <w:rPr>
          <w:rFonts w:eastAsia="黑体"/>
          <w:spacing w:val="11"/>
        </w:rPr>
      </w:pPr>
      <w:bookmarkStart w:id="38" w:name="_Toc275796180"/>
      <w:bookmarkStart w:id="39" w:name="_Toc403379957"/>
      <w:r>
        <w:rPr>
          <w:rFonts w:hint="eastAsia" w:eastAsia="黑体"/>
          <w:spacing w:val="11"/>
        </w:rPr>
        <w:t xml:space="preserve">      </w:t>
      </w:r>
      <w:r>
        <w:rPr>
          <w:rFonts w:eastAsia="黑体"/>
          <w:spacing w:val="11"/>
        </w:rPr>
        <w:t>住房和城乡建设部备案号：</w:t>
      </w:r>
      <w:bookmarkEnd w:id="38"/>
      <w:r>
        <w:rPr>
          <w:rFonts w:eastAsia="黑体"/>
          <w:spacing w:val="11"/>
        </w:rPr>
        <w:t xml:space="preserve">J </w:t>
      </w:r>
      <w:r>
        <w:rPr>
          <w:rFonts w:hint="eastAsia" w:eastAsia="黑体"/>
          <w:spacing w:val="11"/>
        </w:rPr>
        <w:t>×××-</w:t>
      </w:r>
      <w:bookmarkEnd w:id="39"/>
      <w:r>
        <w:rPr>
          <w:rFonts w:hint="eastAsia" w:eastAsia="黑体"/>
          <w:spacing w:val="11"/>
        </w:rPr>
        <w:t>2022</w:t>
      </w:r>
    </w:p>
    <w:p>
      <w:pPr>
        <w:pStyle w:val="22"/>
        <w:spacing w:beforeLines="0" w:afterLines="0"/>
        <w:ind w:left="-1418" w:leftChars="-675" w:right="-1369" w:rightChars="-652"/>
        <w:outlineLvl w:val="9"/>
        <w:rPr>
          <w:color w:val="323232" w:themeColor="text1"/>
          <w14:textFill>
            <w14:solidFill>
              <w14:schemeClr w14:val="tx1"/>
            </w14:solidFill>
          </w14:textFill>
        </w:rPr>
      </w:pPr>
      <w:r>
        <w:rPr>
          <w:rFonts w:hint="eastAsia"/>
          <w:color w:val="323232" w:themeColor="text1"/>
          <w:u w:val="thick"/>
          <w14:textFill>
            <w14:solidFill>
              <w14:schemeClr w14:val="tx1"/>
            </w14:solidFill>
          </w14:textFill>
        </w:rPr>
        <w:t xml:space="preserve">                                                                                                 </w:t>
      </w:r>
      <w:r>
        <w:rPr>
          <w:rFonts w:hint="eastAsia"/>
          <w:color w:val="323232" w:themeColor="text1"/>
          <w14:textFill>
            <w14:solidFill>
              <w14:schemeClr w14:val="tx1"/>
            </w14:solidFill>
          </w14:textFill>
        </w:rPr>
        <w:t xml:space="preserve">                          </w:t>
      </w:r>
    </w:p>
    <w:p>
      <w:pPr>
        <w:adjustRightInd w:val="0"/>
        <w:snapToGrid w:val="0"/>
        <w:spacing w:beforeLines="0" w:afterLines="0"/>
        <w:jc w:val="right"/>
        <w:rPr>
          <w:b/>
          <w:color w:val="323232" w:themeColor="text1"/>
          <w:sz w:val="32"/>
          <w:szCs w:val="32"/>
          <w14:textFill>
            <w14:solidFill>
              <w14:schemeClr w14:val="tx1"/>
            </w14:solidFill>
          </w14:textFill>
        </w:rPr>
      </w:pPr>
    </w:p>
    <w:p>
      <w:pPr>
        <w:adjustRightInd w:val="0"/>
        <w:snapToGrid w:val="0"/>
        <w:spacing w:beforeLines="0" w:afterLines="0"/>
        <w:jc w:val="right"/>
        <w:rPr>
          <w:b/>
          <w:color w:val="323232" w:themeColor="text1"/>
          <w:sz w:val="32"/>
          <w:szCs w:val="32"/>
          <w14:textFill>
            <w14:solidFill>
              <w14:schemeClr w14:val="tx1"/>
            </w14:solidFill>
          </w14:textFill>
        </w:rPr>
      </w:pPr>
    </w:p>
    <w:p>
      <w:pPr>
        <w:adjustRightInd w:val="0"/>
        <w:snapToGrid w:val="0"/>
        <w:spacing w:beforeLines="0" w:afterLines="0"/>
        <w:rPr>
          <w:b/>
          <w:bCs/>
          <w:color w:val="323232" w:themeColor="text1"/>
          <w:sz w:val="44"/>
          <w:szCs w:val="44"/>
          <w14:textFill>
            <w14:solidFill>
              <w14:schemeClr w14:val="tx1"/>
            </w14:solidFill>
          </w14:textFill>
        </w:rPr>
      </w:pPr>
    </w:p>
    <w:p>
      <w:pPr>
        <w:spacing w:beforeLines="0" w:afterLines="0" w:line="288" w:lineRule="auto"/>
        <w:jc w:val="center"/>
        <w:rPr>
          <w:rFonts w:eastAsia="黑体"/>
          <w:color w:val="000000"/>
          <w:sz w:val="44"/>
          <w:szCs w:val="44"/>
        </w:rPr>
      </w:pPr>
      <w:r>
        <w:rPr>
          <w:rFonts w:hint="eastAsia" w:eastAsia="黑体"/>
          <w:color w:val="000000"/>
          <w:sz w:val="44"/>
          <w:szCs w:val="44"/>
        </w:rPr>
        <w:t>既有桩基清除技术标准</w:t>
      </w:r>
    </w:p>
    <w:p>
      <w:pPr>
        <w:pStyle w:val="22"/>
        <w:adjustRightInd w:val="0"/>
        <w:snapToGrid w:val="0"/>
        <w:spacing w:beforeLines="0" w:afterLines="0"/>
        <w:jc w:val="center"/>
        <w:outlineLvl w:val="9"/>
        <w:rPr>
          <w:b/>
          <w:color w:val="323232" w:themeColor="text1"/>
          <w:sz w:val="36"/>
          <w:szCs w:val="36"/>
          <w14:textFill>
            <w14:solidFill>
              <w14:schemeClr w14:val="tx1"/>
            </w14:solidFill>
          </w14:textFill>
        </w:rPr>
      </w:pPr>
      <w:bookmarkStart w:id="40" w:name="_Toc27420"/>
      <w:bookmarkStart w:id="41" w:name="_Toc13029"/>
      <w:bookmarkStart w:id="42" w:name="_Toc9320"/>
      <w:bookmarkStart w:id="43" w:name="_Toc30188"/>
      <w:bookmarkStart w:id="44" w:name="_Toc21725"/>
      <w:bookmarkStart w:id="45" w:name="_Toc1531"/>
    </w:p>
    <w:p>
      <w:pPr>
        <w:pStyle w:val="22"/>
        <w:adjustRightInd w:val="0"/>
        <w:snapToGrid w:val="0"/>
        <w:spacing w:beforeLines="0" w:afterLines="0"/>
        <w:jc w:val="center"/>
        <w:outlineLvl w:val="9"/>
        <w:rPr>
          <w:b/>
          <w:color w:val="323232" w:themeColor="text1"/>
          <w14:textFill>
            <w14:solidFill>
              <w14:schemeClr w14:val="tx1"/>
            </w14:solidFill>
          </w14:textFill>
        </w:rPr>
      </w:pPr>
      <w:bookmarkStart w:id="46" w:name="_Toc7147"/>
      <w:bookmarkStart w:id="47" w:name="_Toc27348"/>
      <w:bookmarkStart w:id="48" w:name="_Toc12838"/>
      <w:bookmarkStart w:id="49" w:name="_Toc3955"/>
      <w:bookmarkStart w:id="50" w:name="_Toc29118"/>
      <w:bookmarkStart w:id="51" w:name="_Toc6649"/>
      <w:bookmarkStart w:id="52" w:name="_Toc2143"/>
      <w:bookmarkStart w:id="53" w:name="_Toc15022"/>
      <w:bookmarkStart w:id="54" w:name="_Toc13816"/>
      <w:bookmarkStart w:id="55" w:name="_Toc32273"/>
      <w:bookmarkStart w:id="56" w:name="_Toc20994"/>
      <w:bookmarkStart w:id="57" w:name="_Toc10553"/>
      <w:bookmarkStart w:id="58" w:name="_Toc30330"/>
      <w:bookmarkStart w:id="59" w:name="_Toc3553"/>
      <w:bookmarkStart w:id="60" w:name="_Toc19821"/>
      <w:bookmarkStart w:id="61" w:name="_Toc5447"/>
      <w:bookmarkStart w:id="62" w:name="_Toc6190"/>
      <w:bookmarkStart w:id="63" w:name="_Toc16615"/>
      <w:r>
        <w:rPr>
          <w:b/>
          <w:color w:val="323232" w:themeColor="text1"/>
          <w14:textFill>
            <w14:solidFill>
              <w14:schemeClr w14:val="tx1"/>
            </w14:solidFill>
          </w14:textFill>
        </w:rPr>
        <w:t xml:space="preserve">Technical </w:t>
      </w:r>
      <w:r>
        <w:rPr>
          <w:rFonts w:hint="eastAsia"/>
          <w:b/>
          <w:color w:val="323232" w:themeColor="text1"/>
          <w14:textFill>
            <w14:solidFill>
              <w14:schemeClr w14:val="tx1"/>
            </w14:solidFill>
          </w14:textFill>
        </w:rPr>
        <w:t>Standard</w:t>
      </w:r>
      <w:r>
        <w:rPr>
          <w:b/>
          <w:color w:val="323232" w:themeColor="text1"/>
          <w14:textFill>
            <w14:solidFill>
              <w14:schemeClr w14:val="tx1"/>
            </w14:solidFill>
          </w14:textFill>
        </w:rPr>
        <w:t xml:space="preserve"> for </w:t>
      </w:r>
      <w:bookmarkEnd w:id="40"/>
      <w:bookmarkEnd w:id="41"/>
      <w:bookmarkEnd w:id="46"/>
      <w:bookmarkStart w:id="64" w:name="_Toc25807"/>
      <w:bookmarkStart w:id="65" w:name="_Toc447827237"/>
      <w:bookmarkStart w:id="66" w:name="_Toc21450"/>
      <w:bookmarkStart w:id="67" w:name="_Toc447827298"/>
      <w:bookmarkStart w:id="68" w:name="_Toc14910"/>
      <w:bookmarkStart w:id="69" w:name="_Toc11253"/>
      <w:bookmarkStart w:id="70" w:name="_Toc9209"/>
      <w:bookmarkStart w:id="71" w:name="_Toc484"/>
      <w:bookmarkStart w:id="72" w:name="_Toc20771"/>
      <w:bookmarkStart w:id="73" w:name="_Toc17798"/>
      <w:bookmarkStart w:id="74" w:name="_Toc1438"/>
      <w:bookmarkStart w:id="75" w:name="_Toc2515"/>
      <w:bookmarkStart w:id="76" w:name="_Toc9487"/>
      <w:r>
        <w:rPr>
          <w:rFonts w:hint="eastAsia"/>
          <w:b/>
          <w:color w:val="323232" w:themeColor="text1"/>
          <w14:textFill>
            <w14:solidFill>
              <w14:schemeClr w14:val="tx1"/>
            </w14:solidFill>
          </w14:textFill>
        </w:rPr>
        <w:t>r</w:t>
      </w:r>
      <w:r>
        <w:rPr>
          <w:b/>
          <w:color w:val="323232" w:themeColor="text1"/>
          <w14:textFill>
            <w14:solidFill>
              <w14:schemeClr w14:val="tx1"/>
            </w14:solidFill>
          </w14:textFill>
        </w:rPr>
        <w:t>emoval of existing pile foundation</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pPr>
        <w:pStyle w:val="22"/>
        <w:adjustRightInd w:val="0"/>
        <w:snapToGrid w:val="0"/>
        <w:spacing w:beforeLines="0" w:afterLines="0"/>
        <w:jc w:val="center"/>
        <w:outlineLvl w:val="9"/>
        <w:rPr>
          <w:rFonts w:ascii="黑体" w:hAnsi="黑体" w:eastAsia="黑体" w:cs="黑体"/>
          <w:bCs/>
          <w:color w:val="323232" w:themeColor="text1"/>
          <w14:textFill>
            <w14:solidFill>
              <w14:schemeClr w14:val="tx1"/>
            </w14:solidFill>
          </w14:textFill>
        </w:rPr>
      </w:pPr>
      <w:bookmarkStart w:id="77" w:name="_Toc10285"/>
      <w:bookmarkStart w:id="78" w:name="_Toc12464"/>
      <w:bookmarkStart w:id="79" w:name="_Toc23119"/>
      <w:bookmarkStart w:id="80" w:name="_Toc2176"/>
      <w:bookmarkStart w:id="81" w:name="_Toc24310"/>
      <w:bookmarkStart w:id="82" w:name="_Toc7140"/>
      <w:bookmarkStart w:id="83" w:name="_Toc9288"/>
      <w:bookmarkStart w:id="84" w:name="_Toc8941"/>
      <w:bookmarkStart w:id="85" w:name="_Toc16527"/>
      <w:bookmarkStart w:id="86" w:name="_Toc2007"/>
      <w:bookmarkStart w:id="87" w:name="_Toc32272"/>
      <w:bookmarkStart w:id="88" w:name="_Toc20365"/>
      <w:bookmarkStart w:id="89" w:name="_Toc1314"/>
      <w:bookmarkStart w:id="90" w:name="_Toc7654"/>
      <w:bookmarkStart w:id="91" w:name="_Toc20535"/>
      <w:bookmarkStart w:id="92" w:name="_Toc16534"/>
      <w:bookmarkStart w:id="93" w:name="_Toc5727"/>
      <w:r>
        <w:rPr>
          <w:rFonts w:hint="eastAsia" w:ascii="黑体" w:hAnsi="黑体" w:eastAsia="黑体" w:cs="黑体"/>
          <w:bCs/>
          <w:color w:val="323232" w:themeColor="text1"/>
          <w14:textFill>
            <w14:solidFill>
              <w14:schemeClr w14:val="tx1"/>
            </w14:solidFill>
          </w14:textFill>
        </w:rPr>
        <w:t>（</w:t>
      </w:r>
      <w:bookmarkEnd w:id="42"/>
      <w:bookmarkEnd w:id="43"/>
      <w:bookmarkEnd w:id="44"/>
      <w:bookmarkEnd w:id="45"/>
      <w:bookmarkEnd w:id="64"/>
      <w:bookmarkEnd w:id="65"/>
      <w:bookmarkEnd w:id="66"/>
      <w:bookmarkEnd w:id="67"/>
      <w:bookmarkEnd w:id="68"/>
      <w:bookmarkEnd w:id="69"/>
      <w:bookmarkEnd w:id="70"/>
      <w:r>
        <w:rPr>
          <w:rFonts w:hint="eastAsia" w:ascii="黑体" w:hAnsi="黑体" w:eastAsia="黑体" w:cs="黑体"/>
          <w:bCs/>
          <w:color w:val="323232" w:themeColor="text1"/>
          <w14:textFill>
            <w14:solidFill>
              <w14:schemeClr w14:val="tx1"/>
            </w14:solidFill>
          </w14:textFill>
        </w:rPr>
        <w:t>征求意见稿）</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pPr>
        <w:adjustRightInd w:val="0"/>
        <w:snapToGrid w:val="0"/>
        <w:spacing w:beforeLines="0" w:afterLines="0" w:line="300" w:lineRule="auto"/>
        <w:jc w:val="center"/>
        <w:rPr>
          <w:b/>
          <w:bCs/>
          <w:color w:val="323232" w:themeColor="text1"/>
          <w:sz w:val="24"/>
          <w14:textFill>
            <w14:solidFill>
              <w14:schemeClr w14:val="tx1"/>
            </w14:solidFill>
          </w14:textFill>
        </w:rPr>
      </w:pPr>
    </w:p>
    <w:p>
      <w:pPr>
        <w:adjustRightInd w:val="0"/>
        <w:snapToGrid w:val="0"/>
        <w:spacing w:beforeLines="0" w:afterLines="0" w:line="300" w:lineRule="auto"/>
        <w:jc w:val="center"/>
        <w:rPr>
          <w:b/>
          <w:bCs/>
          <w:color w:val="323232" w:themeColor="text1"/>
          <w:sz w:val="24"/>
          <w14:textFill>
            <w14:solidFill>
              <w14:schemeClr w14:val="tx1"/>
            </w14:solidFill>
          </w14:textFill>
        </w:rPr>
      </w:pPr>
    </w:p>
    <w:p>
      <w:pPr>
        <w:adjustRightInd w:val="0"/>
        <w:snapToGrid w:val="0"/>
        <w:spacing w:beforeLines="0" w:afterLines="0" w:line="300" w:lineRule="auto"/>
        <w:jc w:val="center"/>
        <w:rPr>
          <w:b/>
          <w:bCs/>
          <w:color w:val="323232" w:themeColor="text1"/>
          <w:sz w:val="24"/>
          <w14:textFill>
            <w14:solidFill>
              <w14:schemeClr w14:val="tx1"/>
            </w14:solidFill>
          </w14:textFill>
        </w:rPr>
      </w:pPr>
    </w:p>
    <w:p>
      <w:pPr>
        <w:adjustRightInd w:val="0"/>
        <w:snapToGrid w:val="0"/>
        <w:spacing w:beforeLines="0" w:afterLines="0" w:line="300" w:lineRule="auto"/>
        <w:jc w:val="center"/>
        <w:rPr>
          <w:b/>
          <w:bCs/>
          <w:color w:val="323232" w:themeColor="text1"/>
          <w:sz w:val="24"/>
          <w14:textFill>
            <w14:solidFill>
              <w14:schemeClr w14:val="tx1"/>
            </w14:solidFill>
          </w14:textFill>
        </w:rPr>
      </w:pPr>
    </w:p>
    <w:p>
      <w:pPr>
        <w:pStyle w:val="22"/>
        <w:spacing w:beforeLines="0" w:afterLines="0"/>
        <w:ind w:left="-1418" w:leftChars="-675" w:right="-1367" w:rightChars="-651"/>
        <w:outlineLvl w:val="9"/>
        <w:rPr>
          <w:rFonts w:ascii="黑体" w:eastAsia="黑体"/>
          <w:color w:val="323232" w:themeColor="text1"/>
          <w:sz w:val="28"/>
          <w:szCs w:val="28"/>
          <w:u w:val="thick"/>
          <w14:textFill>
            <w14:solidFill>
              <w14:schemeClr w14:val="tx1"/>
            </w14:solidFill>
          </w14:textFill>
        </w:rPr>
      </w:pPr>
      <w:r>
        <w:rPr>
          <w:rFonts w:hint="eastAsia" w:ascii="黑体" w:eastAsia="黑体"/>
          <w:color w:val="323232" w:themeColor="text1"/>
          <w:sz w:val="28"/>
          <w:szCs w:val="28"/>
          <w:u w:val="thick"/>
          <w14:textFill>
            <w14:solidFill>
              <w14:schemeClr w14:val="tx1"/>
            </w14:solidFill>
          </w14:textFill>
        </w:rPr>
        <w:t xml:space="preserve">      </w:t>
      </w:r>
      <w:bookmarkStart w:id="94" w:name="_Toc27046"/>
      <w:bookmarkStart w:id="95" w:name="_Toc27800"/>
      <w:bookmarkStart w:id="96" w:name="_Toc31459"/>
      <w:bookmarkStart w:id="97" w:name="_Toc403379961"/>
      <w:bookmarkStart w:id="98" w:name="_Toc3876"/>
      <w:bookmarkStart w:id="99" w:name="_Toc26134"/>
      <w:bookmarkStart w:id="100" w:name="_Toc2982"/>
      <w:bookmarkStart w:id="101" w:name="_Toc4904"/>
      <w:r>
        <w:rPr>
          <w:rFonts w:hint="eastAsia" w:ascii="黑体" w:eastAsia="黑体"/>
          <w:color w:val="323232" w:themeColor="text1"/>
          <w:sz w:val="28"/>
          <w:szCs w:val="28"/>
          <w:u w:val="thick"/>
          <w14:textFill>
            <w14:solidFill>
              <w14:schemeClr w14:val="tx1"/>
            </w14:solidFill>
          </w14:textFill>
        </w:rPr>
        <w:t xml:space="preserve">     </w:t>
      </w:r>
      <w:bookmarkStart w:id="102" w:name="_Toc15902"/>
      <w:bookmarkStart w:id="103" w:name="_Toc18087"/>
      <w:bookmarkStart w:id="104" w:name="_Toc25906"/>
      <w:bookmarkStart w:id="105" w:name="_Toc10759"/>
      <w:bookmarkStart w:id="106" w:name="_Toc26240"/>
      <w:bookmarkStart w:id="107" w:name="_Toc25326"/>
      <w:bookmarkStart w:id="108" w:name="_Toc16915"/>
      <w:bookmarkStart w:id="109" w:name="_Toc18095"/>
      <w:bookmarkStart w:id="110" w:name="_Toc6907"/>
      <w:bookmarkStart w:id="111" w:name="_Toc4375"/>
      <w:bookmarkStart w:id="112" w:name="_Toc788"/>
      <w:r>
        <w:rPr>
          <w:rFonts w:hint="eastAsia" w:eastAsia="黑体"/>
          <w:color w:val="323232" w:themeColor="text1"/>
          <w:u w:val="thick"/>
          <w14:textFill>
            <w14:solidFill>
              <w14:schemeClr w14:val="tx1"/>
            </w14:solidFill>
          </w14:textFill>
        </w:rPr>
        <w:t>2022</w:t>
      </w:r>
      <w:r>
        <w:rPr>
          <w:rFonts w:eastAsia="黑体"/>
          <w:color w:val="323232" w:themeColor="text1"/>
          <w:u w:val="thick"/>
          <w14:textFill>
            <w14:solidFill>
              <w14:schemeClr w14:val="tx1"/>
            </w14:solidFill>
          </w14:textFill>
        </w:rPr>
        <w:t xml:space="preserve">-XX-XX发布             </w:t>
      </w:r>
      <w:r>
        <w:rPr>
          <w:rFonts w:hint="eastAsia" w:eastAsia="黑体"/>
          <w:color w:val="323232" w:themeColor="text1"/>
          <w:u w:val="thick"/>
          <w14:textFill>
            <w14:solidFill>
              <w14:schemeClr w14:val="tx1"/>
            </w14:solidFill>
          </w14:textFill>
        </w:rPr>
        <w:t>2022</w:t>
      </w:r>
      <w:r>
        <w:rPr>
          <w:rFonts w:eastAsia="黑体"/>
          <w:color w:val="323232" w:themeColor="text1"/>
          <w:u w:val="thick"/>
          <w14:textFill>
            <w14:solidFill>
              <w14:schemeClr w14:val="tx1"/>
            </w14:solidFill>
          </w14:textFill>
        </w:rPr>
        <w:t xml:space="preserve">-XX-XX </w:t>
      </w:r>
      <w:r>
        <w:rPr>
          <w:rFonts w:hint="eastAsia" w:ascii="黑体" w:eastAsia="黑体"/>
          <w:color w:val="323232" w:themeColor="text1"/>
          <w:u w:val="thick"/>
          <w14:textFill>
            <w14:solidFill>
              <w14:schemeClr w14:val="tx1"/>
            </w14:solidFill>
          </w14:textFill>
        </w:rPr>
        <w:t xml:space="preserve"> 实施</w:t>
      </w:r>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黑体" w:eastAsia="黑体"/>
          <w:color w:val="323232" w:themeColor="text1"/>
          <w:u w:val="thick"/>
          <w14:textFill>
            <w14:solidFill>
              <w14:schemeClr w14:val="tx1"/>
            </w14:solidFill>
          </w14:textFill>
        </w:rPr>
        <w:t xml:space="preserve"> </w:t>
      </w:r>
      <w:r>
        <w:rPr>
          <w:rFonts w:hint="eastAsia" w:ascii="黑体" w:eastAsia="黑体"/>
          <w:color w:val="323232" w:themeColor="text1"/>
          <w:sz w:val="28"/>
          <w:szCs w:val="28"/>
          <w:u w:val="thick"/>
          <w14:textFill>
            <w14:solidFill>
              <w14:schemeClr w14:val="tx1"/>
            </w14:solidFill>
          </w14:textFill>
        </w:rPr>
        <w:t xml:space="preserve">             </w:t>
      </w:r>
    </w:p>
    <w:p>
      <w:pPr>
        <w:adjustRightInd w:val="0"/>
        <w:snapToGrid w:val="0"/>
        <w:spacing w:beforeLines="0" w:afterLines="0"/>
        <w:rPr>
          <w:b/>
          <w:bCs/>
          <w:color w:val="323232" w:themeColor="text1"/>
          <w:sz w:val="28"/>
          <w:szCs w:val="28"/>
          <w14:textFill>
            <w14:solidFill>
              <w14:schemeClr w14:val="tx1"/>
            </w14:solidFill>
          </w14:textFill>
        </w:rPr>
      </w:pPr>
    </w:p>
    <w:p>
      <w:pPr>
        <w:adjustRightInd w:val="0"/>
        <w:snapToGrid w:val="0"/>
        <w:spacing w:beforeLines="0" w:afterLines="0"/>
        <w:jc w:val="center"/>
        <w:rPr>
          <w:b/>
          <w:bCs/>
          <w:color w:val="323232" w:themeColor="text1"/>
          <w:sz w:val="28"/>
          <w:szCs w:val="28"/>
          <w14:textFill>
            <w14:solidFill>
              <w14:schemeClr w14:val="tx1"/>
            </w14:solidFill>
          </w14:textFill>
        </w:rPr>
      </w:pPr>
      <w:bookmarkStart w:id="113" w:name="_Toc403379962"/>
      <w:r>
        <w:rPr>
          <w:rFonts w:hint="eastAsia" w:ascii="黑体" w:hAnsi="宋体" w:eastAsia="黑体"/>
          <w:color w:val="323232" w:themeColor="text1"/>
          <w:sz w:val="28"/>
          <w:szCs w:val="28"/>
          <w14:textFill>
            <w14:solidFill>
              <w14:schemeClr w14:val="tx1"/>
            </w14:solidFill>
          </w14:textFill>
        </w:rPr>
        <w:t>福建省住房和城乡建设厅  发布</w:t>
      </w:r>
      <w:bookmarkEnd w:id="113"/>
    </w:p>
    <w:p>
      <w:pPr>
        <w:pStyle w:val="22"/>
        <w:spacing w:beforeLines="0" w:afterLines="0"/>
        <w:jc w:val="center"/>
        <w:outlineLvl w:val="9"/>
        <w:rPr>
          <w:rFonts w:ascii="黑体" w:hAnsi="宋体" w:eastAsia="黑体"/>
          <w:color w:val="323232" w:themeColor="text1"/>
          <w:sz w:val="32"/>
          <w:szCs w:val="32"/>
          <w14:textFill>
            <w14:solidFill>
              <w14:schemeClr w14:val="tx1"/>
            </w14:solidFill>
          </w14:textFill>
        </w:rPr>
      </w:pPr>
    </w:p>
    <w:p>
      <w:pPr>
        <w:pStyle w:val="22"/>
        <w:spacing w:beforeLines="0" w:afterLines="0"/>
        <w:jc w:val="center"/>
        <w:outlineLvl w:val="9"/>
        <w:rPr>
          <w:rFonts w:ascii="黑体" w:hAnsi="宋体" w:eastAsia="黑体"/>
          <w:color w:val="323232" w:themeColor="text1"/>
          <w:sz w:val="32"/>
          <w:szCs w:val="32"/>
          <w14:textFill>
            <w14:solidFill>
              <w14:schemeClr w14:val="tx1"/>
            </w14:solidFill>
          </w14:textFill>
        </w:rPr>
        <w:sectPr>
          <w:pgSz w:w="7937" w:h="11906"/>
          <w:pgMar w:top="1134" w:right="1134" w:bottom="1134" w:left="1134" w:header="851" w:footer="992" w:gutter="0"/>
          <w:pgNumType w:fmt="decimal" w:start="1"/>
          <w:cols w:space="0" w:num="1"/>
          <w:docGrid w:type="lines" w:linePitch="312" w:charSpace="0"/>
        </w:sectPr>
      </w:pPr>
      <w:bookmarkStart w:id="114" w:name="_Toc557"/>
      <w:bookmarkStart w:id="115" w:name="_Toc31448"/>
      <w:bookmarkStart w:id="116" w:name="_Toc6658"/>
      <w:bookmarkStart w:id="117" w:name="_Toc2412"/>
      <w:bookmarkStart w:id="118" w:name="_Toc13022"/>
      <w:bookmarkStart w:id="119" w:name="_Toc14240"/>
      <w:bookmarkStart w:id="120" w:name="_Toc10184"/>
    </w:p>
    <w:p>
      <w:pPr>
        <w:pStyle w:val="22"/>
        <w:spacing w:beforeLines="0" w:afterLines="0"/>
        <w:jc w:val="center"/>
        <w:outlineLvl w:val="9"/>
        <w:rPr>
          <w:rFonts w:ascii="黑体" w:hAnsi="宋体" w:eastAsia="黑体"/>
          <w:color w:val="323232" w:themeColor="text1"/>
          <w:sz w:val="32"/>
          <w:szCs w:val="32"/>
          <w14:textFill>
            <w14:solidFill>
              <w14:schemeClr w14:val="tx1"/>
            </w14:solidFill>
          </w14:textFill>
        </w:rPr>
      </w:pPr>
    </w:p>
    <w:p>
      <w:pPr>
        <w:pStyle w:val="22"/>
        <w:spacing w:beforeLines="0" w:afterLines="0"/>
        <w:jc w:val="center"/>
        <w:outlineLvl w:val="9"/>
        <w:rPr>
          <w:rFonts w:ascii="黑体" w:hAnsi="宋体" w:eastAsia="黑体"/>
          <w:color w:val="323232" w:themeColor="text1"/>
          <w:sz w:val="30"/>
          <w:szCs w:val="30"/>
          <w14:textFill>
            <w14:solidFill>
              <w14:schemeClr w14:val="tx1"/>
            </w14:solidFill>
          </w14:textFill>
        </w:rPr>
      </w:pPr>
      <w:bookmarkStart w:id="121" w:name="_Toc27553"/>
      <w:bookmarkStart w:id="122" w:name="_Toc3150"/>
      <w:bookmarkStart w:id="123" w:name="_Toc28750"/>
      <w:bookmarkStart w:id="124" w:name="_Toc10791"/>
      <w:bookmarkStart w:id="125" w:name="_Toc24637"/>
      <w:bookmarkStart w:id="126" w:name="_Toc7586"/>
      <w:bookmarkStart w:id="127" w:name="_Toc30890"/>
      <w:bookmarkStart w:id="128" w:name="_Toc18638"/>
      <w:bookmarkStart w:id="129" w:name="_Toc11134"/>
      <w:bookmarkStart w:id="130" w:name="_Toc29637"/>
      <w:bookmarkStart w:id="131" w:name="_Toc24013"/>
      <w:r>
        <w:rPr>
          <w:rFonts w:ascii="黑体" w:hAnsi="宋体" w:eastAsia="黑体"/>
          <w:color w:val="323232" w:themeColor="text1"/>
          <w:sz w:val="30"/>
          <w:szCs w:val="30"/>
          <w14:textFill>
            <w14:solidFill>
              <w14:schemeClr w14:val="tx1"/>
            </w14:solidFill>
          </w14:textFill>
        </w:rPr>
        <w:t>福建省工程建设地方标准</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pPr>
        <w:adjustRightInd w:val="0"/>
        <w:snapToGrid w:val="0"/>
        <w:spacing w:beforeLines="0" w:afterLines="0" w:line="300" w:lineRule="auto"/>
        <w:jc w:val="center"/>
        <w:rPr>
          <w:b/>
          <w:bCs/>
          <w:color w:val="323232" w:themeColor="text1"/>
          <w:sz w:val="36"/>
          <w14:textFill>
            <w14:solidFill>
              <w14:schemeClr w14:val="tx1"/>
            </w14:solidFill>
          </w14:textFill>
        </w:rPr>
      </w:pPr>
    </w:p>
    <w:p>
      <w:pPr>
        <w:adjustRightInd w:val="0"/>
        <w:snapToGrid w:val="0"/>
        <w:spacing w:beforeLines="0" w:afterLines="0"/>
        <w:jc w:val="center"/>
        <w:rPr>
          <w:rFonts w:ascii="黑体" w:hAnsi="黑体" w:eastAsia="黑体" w:cs="黑体"/>
          <w:color w:val="323232" w:themeColor="text1"/>
          <w:sz w:val="36"/>
          <w:szCs w:val="36"/>
          <w14:textFill>
            <w14:solidFill>
              <w14:schemeClr w14:val="tx1"/>
            </w14:solidFill>
          </w14:textFill>
        </w:rPr>
      </w:pPr>
      <w:r>
        <w:rPr>
          <w:rFonts w:hint="eastAsia" w:ascii="黑体" w:hAnsi="黑体" w:eastAsia="黑体" w:cs="黑体"/>
          <w:color w:val="323232" w:themeColor="text1"/>
          <w:sz w:val="36"/>
          <w:szCs w:val="36"/>
          <w14:textFill>
            <w14:solidFill>
              <w14:schemeClr w14:val="tx1"/>
            </w14:solidFill>
          </w14:textFill>
        </w:rPr>
        <w:t>既有桩基清除技术标准</w:t>
      </w:r>
    </w:p>
    <w:p>
      <w:pPr>
        <w:pStyle w:val="22"/>
        <w:adjustRightInd w:val="0"/>
        <w:snapToGrid w:val="0"/>
        <w:spacing w:beforeLines="0" w:afterLines="0"/>
        <w:jc w:val="center"/>
        <w:outlineLvl w:val="9"/>
        <w:rPr>
          <w:b/>
          <w:color w:val="323232" w:themeColor="text1"/>
          <w14:textFill>
            <w14:solidFill>
              <w14:schemeClr w14:val="tx1"/>
            </w14:solidFill>
          </w14:textFill>
        </w:rPr>
      </w:pPr>
    </w:p>
    <w:p>
      <w:pPr>
        <w:pStyle w:val="22"/>
        <w:adjustRightInd w:val="0"/>
        <w:snapToGrid w:val="0"/>
        <w:spacing w:beforeLines="0" w:afterLines="0"/>
        <w:jc w:val="center"/>
        <w:outlineLvl w:val="9"/>
        <w:rPr>
          <w:b/>
          <w:color w:val="323232" w:themeColor="text1"/>
          <w14:textFill>
            <w14:solidFill>
              <w14:schemeClr w14:val="tx1"/>
            </w14:solidFill>
          </w14:textFill>
        </w:rPr>
      </w:pPr>
      <w:bookmarkStart w:id="132" w:name="_Toc11807"/>
      <w:bookmarkStart w:id="133" w:name="_Toc31690"/>
      <w:bookmarkStart w:id="134" w:name="_Toc27498"/>
      <w:bookmarkStart w:id="135" w:name="_Toc23529"/>
      <w:bookmarkStart w:id="136" w:name="_Toc9068"/>
      <w:bookmarkStart w:id="137" w:name="_Toc17907"/>
      <w:bookmarkStart w:id="138" w:name="_Toc31349"/>
      <w:bookmarkStart w:id="139" w:name="_Toc22122"/>
      <w:bookmarkStart w:id="140" w:name="_Toc14796"/>
      <w:bookmarkStart w:id="141" w:name="_Toc763"/>
      <w:bookmarkStart w:id="142" w:name="_Toc2140"/>
      <w:bookmarkStart w:id="143" w:name="_Toc31959"/>
      <w:bookmarkStart w:id="144" w:name="_Toc24353"/>
      <w:bookmarkStart w:id="145" w:name="_Toc1240"/>
      <w:bookmarkStart w:id="146" w:name="_Toc7919"/>
      <w:bookmarkStart w:id="147" w:name="_Toc18959"/>
      <w:bookmarkStart w:id="148" w:name="_Toc4947"/>
      <w:r>
        <w:rPr>
          <w:b/>
          <w:color w:val="323232" w:themeColor="text1"/>
          <w14:textFill>
            <w14:solidFill>
              <w14:schemeClr w14:val="tx1"/>
            </w14:solidFill>
          </w14:textFill>
        </w:rPr>
        <w:t xml:space="preserve">Technical </w:t>
      </w:r>
      <w:r>
        <w:rPr>
          <w:rFonts w:hint="eastAsia"/>
          <w:b/>
          <w:color w:val="323232" w:themeColor="text1"/>
          <w14:textFill>
            <w14:solidFill>
              <w14:schemeClr w14:val="tx1"/>
            </w14:solidFill>
          </w14:textFill>
        </w:rPr>
        <w:t>Standard</w:t>
      </w:r>
      <w:r>
        <w:rPr>
          <w:b/>
          <w:color w:val="323232" w:themeColor="text1"/>
          <w14:textFill>
            <w14:solidFill>
              <w14:schemeClr w14:val="tx1"/>
            </w14:solidFill>
          </w14:textFill>
        </w:rPr>
        <w:t xml:space="preserve"> for </w:t>
      </w:r>
      <w:bookmarkStart w:id="149" w:name="_Hlk96723182"/>
      <w:r>
        <w:rPr>
          <w:rFonts w:hint="eastAsia"/>
          <w:b/>
          <w:color w:val="323232" w:themeColor="text1"/>
          <w14:textFill>
            <w14:solidFill>
              <w14:schemeClr w14:val="tx1"/>
            </w14:solidFill>
          </w14:textFill>
        </w:rPr>
        <w:t>r</w:t>
      </w:r>
      <w:r>
        <w:rPr>
          <w:b/>
          <w:color w:val="323232" w:themeColor="text1"/>
          <w14:textFill>
            <w14:solidFill>
              <w14:schemeClr w14:val="tx1"/>
            </w14:solidFill>
          </w14:textFill>
        </w:rPr>
        <w:t>emoval of existing pile foundation</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pPr>
        <w:pStyle w:val="22"/>
        <w:adjustRightInd w:val="0"/>
        <w:snapToGrid w:val="0"/>
        <w:spacing w:beforeLines="0" w:afterLines="0"/>
        <w:jc w:val="center"/>
        <w:outlineLvl w:val="9"/>
        <w:rPr>
          <w:color w:val="323232" w:themeColor="text1"/>
          <w14:textFill>
            <w14:solidFill>
              <w14:schemeClr w14:val="tx1"/>
            </w14:solidFill>
          </w14:textFill>
        </w:rPr>
      </w:pPr>
    </w:p>
    <w:p>
      <w:pPr>
        <w:pStyle w:val="22"/>
        <w:adjustRightInd w:val="0"/>
        <w:snapToGrid w:val="0"/>
        <w:spacing w:beforeLines="0" w:afterLines="0"/>
        <w:jc w:val="center"/>
        <w:outlineLvl w:val="9"/>
        <w:rPr>
          <w:color w:val="323232" w:themeColor="text1"/>
          <w14:textFill>
            <w14:solidFill>
              <w14:schemeClr w14:val="tx1"/>
            </w14:solidFill>
          </w14:textFill>
        </w:rPr>
      </w:pPr>
    </w:p>
    <w:p>
      <w:pPr>
        <w:adjustRightInd w:val="0"/>
        <w:snapToGrid w:val="0"/>
        <w:spacing w:beforeLines="0" w:afterLines="0"/>
        <w:rPr>
          <w:color w:val="323232" w:themeColor="text1"/>
          <w14:textFill>
            <w14:solidFill>
              <w14:schemeClr w14:val="tx1"/>
            </w14:solidFill>
          </w14:textFill>
        </w:rPr>
      </w:pPr>
    </w:p>
    <w:p>
      <w:pPr>
        <w:pStyle w:val="22"/>
        <w:spacing w:beforeLines="0" w:afterLines="0"/>
        <w:jc w:val="center"/>
        <w:outlineLvl w:val="9"/>
        <w:rPr>
          <w:color w:val="323232" w:themeColor="text1"/>
          <w:sz w:val="21"/>
          <w:szCs w:val="21"/>
          <w14:textFill>
            <w14:solidFill>
              <w14:schemeClr w14:val="tx1"/>
            </w14:solidFill>
          </w14:textFill>
        </w:rPr>
      </w:pPr>
      <w:bookmarkStart w:id="150" w:name="_Toc275796188"/>
      <w:bookmarkStart w:id="151" w:name="_Toc31954"/>
      <w:bookmarkStart w:id="152" w:name="_Toc5233"/>
      <w:bookmarkStart w:id="153" w:name="_Toc8202"/>
      <w:bookmarkStart w:id="154" w:name="_Toc403379966"/>
      <w:bookmarkStart w:id="155" w:name="_Toc5981"/>
      <w:bookmarkStart w:id="156" w:name="_Toc12307"/>
      <w:bookmarkStart w:id="157" w:name="_Toc30171"/>
      <w:bookmarkStart w:id="158" w:name="_Toc21214"/>
      <w:bookmarkStart w:id="159" w:name="_Toc28751"/>
      <w:bookmarkStart w:id="160" w:name="_Toc8355"/>
      <w:bookmarkStart w:id="161" w:name="_Toc18168"/>
      <w:bookmarkStart w:id="162" w:name="_Toc3409"/>
      <w:bookmarkStart w:id="163" w:name="_Toc29165"/>
      <w:bookmarkStart w:id="164" w:name="_Toc16118"/>
      <w:bookmarkStart w:id="165" w:name="_Toc27608"/>
      <w:bookmarkStart w:id="166" w:name="_Toc14677"/>
      <w:bookmarkStart w:id="167" w:name="_Toc26747"/>
      <w:bookmarkStart w:id="168" w:name="_Toc25768"/>
      <w:bookmarkStart w:id="169" w:name="_Toc6657"/>
      <w:r>
        <w:rPr>
          <w:color w:val="323232" w:themeColor="text1"/>
          <w:sz w:val="21"/>
          <w:szCs w:val="21"/>
          <w14:textFill>
            <w14:solidFill>
              <w14:schemeClr w14:val="tx1"/>
            </w14:solidFill>
          </w14:textFill>
        </w:rPr>
        <w:t>工程建设地方标准编号：DBJ</w:t>
      </w:r>
      <w:r>
        <w:rPr>
          <w:rFonts w:hint="eastAsia"/>
          <w:color w:val="323232" w:themeColor="text1"/>
          <w:sz w:val="21"/>
          <w:szCs w:val="21"/>
          <w14:textFill>
            <w14:solidFill>
              <w14:schemeClr w14:val="tx1"/>
            </w14:solidFill>
          </w14:textFill>
        </w:rPr>
        <w:t xml:space="preserve"> </w:t>
      </w:r>
      <w:r>
        <w:rPr>
          <w:color w:val="323232" w:themeColor="text1"/>
          <w:sz w:val="21"/>
          <w:szCs w:val="21"/>
          <w14:textFill>
            <w14:solidFill>
              <w14:schemeClr w14:val="tx1"/>
            </w14:solidFill>
          </w14:textFill>
        </w:rPr>
        <w:t>13</w:t>
      </w:r>
      <w:r>
        <w:rPr>
          <w:rFonts w:hint="eastAsia" w:ascii="宋体" w:hAnsi="宋体" w:cs="宋体"/>
          <w:color w:val="323232" w:themeColor="text1"/>
          <w:sz w:val="21"/>
          <w:szCs w:val="21"/>
          <w14:textFill>
            <w14:solidFill>
              <w14:schemeClr w14:val="tx1"/>
            </w14:solidFill>
          </w14:textFill>
        </w:rPr>
        <w:t>-</w:t>
      </w:r>
      <w:r>
        <w:rPr>
          <w:rFonts w:hint="eastAsia"/>
          <w:color w:val="323232" w:themeColor="text1"/>
          <w:sz w:val="21"/>
          <w:szCs w:val="21"/>
          <w14:textFill>
            <w14:solidFill>
              <w14:schemeClr w14:val="tx1"/>
            </w14:solidFill>
          </w14:textFill>
        </w:rPr>
        <w:t>×××</w:t>
      </w:r>
      <w:r>
        <w:rPr>
          <w:rFonts w:hint="eastAsia" w:ascii="宋体" w:hAnsi="宋体" w:cs="宋体"/>
          <w:color w:val="323232" w:themeColor="text1"/>
          <w:sz w:val="21"/>
          <w:szCs w:val="21"/>
          <w14:textFill>
            <w14:solidFill>
              <w14:schemeClr w14:val="tx1"/>
            </w14:solidFill>
          </w14:textFill>
        </w:rPr>
        <w:t>-</w:t>
      </w:r>
      <w:bookmarkEnd w:id="150"/>
      <w:bookmarkEnd w:id="151"/>
      <w:bookmarkEnd w:id="152"/>
      <w:bookmarkEnd w:id="153"/>
      <w:bookmarkEnd w:id="154"/>
      <w:r>
        <w:rPr>
          <w:rFonts w:hint="eastAsia"/>
          <w:color w:val="323232" w:themeColor="text1"/>
          <w:sz w:val="21"/>
          <w:szCs w:val="21"/>
          <w14:textFill>
            <w14:solidFill>
              <w14:schemeClr w14:val="tx1"/>
            </w14:solidFill>
          </w14:textFill>
        </w:rPr>
        <w:t>2022</w:t>
      </w:r>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p>
    <w:p>
      <w:pPr>
        <w:pStyle w:val="22"/>
        <w:adjustRightInd w:val="0"/>
        <w:snapToGrid w:val="0"/>
        <w:spacing w:beforeLines="0" w:afterLines="0"/>
        <w:ind w:firstLine="735" w:firstLineChars="350"/>
        <w:outlineLvl w:val="9"/>
        <w:rPr>
          <w:color w:val="323232" w:themeColor="text1"/>
          <w:sz w:val="21"/>
          <w:szCs w:val="21"/>
          <w14:textFill>
            <w14:solidFill>
              <w14:schemeClr w14:val="tx1"/>
            </w14:solidFill>
          </w14:textFill>
        </w:rPr>
      </w:pPr>
      <w:bookmarkStart w:id="170" w:name="_Toc275796189"/>
      <w:bookmarkStart w:id="171" w:name="_Toc403379967"/>
      <w:bookmarkStart w:id="172" w:name="_Toc7530"/>
      <w:bookmarkStart w:id="173" w:name="_Toc24266"/>
      <w:bookmarkStart w:id="174" w:name="_Toc7779"/>
      <w:bookmarkStart w:id="175" w:name="_Toc21751"/>
      <w:bookmarkStart w:id="176" w:name="_Toc7830"/>
      <w:bookmarkStart w:id="177" w:name="_Toc22364"/>
      <w:bookmarkStart w:id="178" w:name="_Toc4126"/>
      <w:bookmarkStart w:id="179" w:name="_Toc20632"/>
      <w:bookmarkStart w:id="180" w:name="_Toc6054"/>
      <w:bookmarkStart w:id="181" w:name="_Toc13133"/>
      <w:bookmarkStart w:id="182" w:name="_Toc17361"/>
      <w:bookmarkStart w:id="183" w:name="_Toc9523"/>
      <w:bookmarkStart w:id="184" w:name="_Toc14825"/>
      <w:bookmarkStart w:id="185" w:name="_Toc32216"/>
      <w:bookmarkStart w:id="186" w:name="_Toc18522"/>
      <w:bookmarkStart w:id="187" w:name="_Toc10008"/>
      <w:bookmarkStart w:id="188" w:name="_Toc9025"/>
      <w:bookmarkStart w:id="189" w:name="_Toc6651"/>
      <w:r>
        <w:rPr>
          <w:color w:val="323232" w:themeColor="text1"/>
          <w:sz w:val="21"/>
          <w:szCs w:val="21"/>
          <w14:textFill>
            <w14:solidFill>
              <w14:schemeClr w14:val="tx1"/>
            </w14:solidFill>
          </w14:textFill>
        </w:rPr>
        <w:t>住房和城乡建设部备案号</w:t>
      </w:r>
      <w:bookmarkEnd w:id="170"/>
      <w:r>
        <w:rPr>
          <w:color w:val="323232" w:themeColor="text1"/>
          <w:sz w:val="21"/>
          <w:szCs w:val="21"/>
          <w14:textFill>
            <w14:solidFill>
              <w14:schemeClr w14:val="tx1"/>
            </w14:solidFill>
          </w14:textFill>
        </w:rPr>
        <w:t>：</w:t>
      </w:r>
      <w:bookmarkEnd w:id="171"/>
      <w:r>
        <w:rPr>
          <w:rFonts w:hint="eastAsia"/>
          <w:color w:val="323232" w:themeColor="text1"/>
          <w:sz w:val="21"/>
          <w:szCs w:val="21"/>
          <w14:textFill>
            <w14:solidFill>
              <w14:schemeClr w14:val="tx1"/>
            </w14:solidFill>
          </w14:textFill>
        </w:rPr>
        <w:t>××</w:t>
      </w:r>
      <w:r>
        <w:rPr>
          <w:rFonts w:hint="eastAsia" w:ascii="宋体" w:hAnsi="宋体" w:cs="宋体"/>
          <w:color w:val="323232" w:themeColor="text1"/>
          <w:sz w:val="21"/>
          <w:szCs w:val="21"/>
          <w14:textFill>
            <w14:solidFill>
              <w14:schemeClr w14:val="tx1"/>
            </w14:solidFill>
          </w14:textFill>
        </w:rPr>
        <w:t>-</w:t>
      </w:r>
      <w:bookmarkEnd w:id="172"/>
      <w:bookmarkEnd w:id="173"/>
      <w:bookmarkEnd w:id="174"/>
      <w:r>
        <w:rPr>
          <w:rFonts w:hint="eastAsia"/>
          <w:color w:val="323232" w:themeColor="text1"/>
          <w:sz w:val="21"/>
          <w:szCs w:val="21"/>
          <w14:textFill>
            <w14:solidFill>
              <w14:schemeClr w14:val="tx1"/>
            </w14:solidFill>
          </w14:textFill>
        </w:rPr>
        <w:t>2022</w:t>
      </w:r>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pPr>
        <w:adjustRightInd w:val="0"/>
        <w:snapToGrid w:val="0"/>
        <w:spacing w:beforeLines="0" w:afterLines="0" w:line="360" w:lineRule="auto"/>
        <w:jc w:val="center"/>
        <w:rPr>
          <w:bCs/>
          <w:color w:val="323232" w:themeColor="text1"/>
          <w:szCs w:val="21"/>
          <w14:textFill>
            <w14:solidFill>
              <w14:schemeClr w14:val="tx1"/>
            </w14:solidFill>
          </w14:textFill>
        </w:rPr>
      </w:pPr>
    </w:p>
    <w:p>
      <w:pPr>
        <w:pStyle w:val="14"/>
        <w:spacing w:beforeLines="0" w:afterLines="0"/>
        <w:ind w:firstLine="480"/>
      </w:pPr>
    </w:p>
    <w:p>
      <w:pPr>
        <w:pStyle w:val="22"/>
        <w:adjustRightInd w:val="0"/>
        <w:snapToGrid w:val="0"/>
        <w:spacing w:beforeLines="0" w:afterLines="0" w:line="360" w:lineRule="auto"/>
        <w:jc w:val="center"/>
        <w:outlineLvl w:val="9"/>
        <w:rPr>
          <w:color w:val="323232" w:themeColor="text1"/>
          <w:sz w:val="21"/>
          <w:szCs w:val="21"/>
          <w14:textFill>
            <w14:solidFill>
              <w14:schemeClr w14:val="tx1"/>
            </w14:solidFill>
          </w14:textFill>
        </w:rPr>
      </w:pPr>
      <w:bookmarkStart w:id="190" w:name="_Toc31727"/>
      <w:bookmarkStart w:id="191" w:name="_Toc402"/>
      <w:bookmarkStart w:id="192" w:name="_Toc21587"/>
      <w:bookmarkStart w:id="193" w:name="_Toc18185"/>
      <w:bookmarkStart w:id="194" w:name="_Toc27147"/>
      <w:bookmarkStart w:id="195" w:name="_Toc26813"/>
      <w:bookmarkStart w:id="196" w:name="_Toc31587"/>
      <w:bookmarkStart w:id="197" w:name="_Toc24598"/>
      <w:bookmarkStart w:id="198" w:name="_Toc17337"/>
      <w:bookmarkStart w:id="199" w:name="_Toc16333"/>
      <w:bookmarkStart w:id="200" w:name="_Toc31640"/>
      <w:bookmarkStart w:id="201" w:name="_Toc16670"/>
      <w:bookmarkStart w:id="202" w:name="_Toc26292"/>
      <w:bookmarkStart w:id="203" w:name="_Toc14037"/>
      <w:bookmarkStart w:id="204" w:name="_Toc18103"/>
      <w:bookmarkStart w:id="205" w:name="_Toc4510"/>
      <w:bookmarkStart w:id="206" w:name="_Toc6650"/>
      <w:bookmarkStart w:id="207" w:name="_Toc25994"/>
      <w:bookmarkStart w:id="208" w:name="_Toc825"/>
      <w:bookmarkStart w:id="209" w:name="_Toc17071"/>
      <w:bookmarkStart w:id="210" w:name="_Toc16081"/>
      <w:bookmarkStart w:id="211" w:name="_Toc14166"/>
      <w:bookmarkStart w:id="212" w:name="_Toc4439"/>
      <w:bookmarkStart w:id="213" w:name="_Toc30551"/>
      <w:bookmarkStart w:id="214" w:name="_Toc9825"/>
      <w:bookmarkStart w:id="215" w:name="_Toc2534"/>
      <w:bookmarkStart w:id="216" w:name="_Toc3373"/>
      <w:r>
        <w:rPr>
          <w:color w:val="323232" w:themeColor="text1"/>
          <w:sz w:val="21"/>
          <w:szCs w:val="21"/>
          <w14:textFill>
            <w14:solidFill>
              <w14:schemeClr w14:val="tx1"/>
            </w14:solidFill>
          </w14:textFill>
        </w:rPr>
        <w:t>主编单位：福建省建筑科学研究院有限责任公司</w:t>
      </w:r>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p>
    <w:p>
      <w:pPr>
        <w:pStyle w:val="22"/>
        <w:adjustRightInd w:val="0"/>
        <w:snapToGrid w:val="0"/>
        <w:spacing w:beforeLines="0" w:afterLines="0" w:line="360" w:lineRule="auto"/>
        <w:ind w:firstLine="105" w:firstLineChars="50"/>
        <w:jc w:val="center"/>
        <w:outlineLvl w:val="9"/>
        <w:rPr>
          <w:color w:val="323232" w:themeColor="text1"/>
          <w:sz w:val="21"/>
          <w:szCs w:val="21"/>
          <w14:textFill>
            <w14:solidFill>
              <w14:schemeClr w14:val="tx1"/>
            </w14:solidFill>
          </w14:textFill>
        </w:rPr>
      </w:pPr>
      <w:r>
        <w:rPr>
          <w:rFonts w:hint="eastAsia"/>
          <w:color w:val="323232" w:themeColor="text1"/>
          <w:sz w:val="21"/>
          <w:szCs w:val="21"/>
          <w14:textFill>
            <w14:solidFill>
              <w14:schemeClr w14:val="tx1"/>
            </w14:solidFill>
          </w14:textFill>
        </w:rPr>
        <w:t xml:space="preserve"> </w:t>
      </w:r>
      <w:bookmarkStart w:id="217" w:name="_Toc17509"/>
      <w:bookmarkStart w:id="218" w:name="_Toc3516"/>
      <w:bookmarkStart w:id="219" w:name="_Toc18668"/>
      <w:bookmarkStart w:id="220" w:name="_Toc4949"/>
      <w:bookmarkStart w:id="221" w:name="_Toc12087"/>
      <w:bookmarkStart w:id="222" w:name="_Toc1368"/>
      <w:bookmarkStart w:id="223" w:name="_Toc24650"/>
      <w:bookmarkStart w:id="224" w:name="_Toc32629"/>
      <w:bookmarkStart w:id="225" w:name="_Toc21571"/>
      <w:bookmarkStart w:id="226" w:name="_Toc13821"/>
      <w:bookmarkStart w:id="227" w:name="_Toc7593"/>
      <w:bookmarkStart w:id="228" w:name="_Toc16178"/>
      <w:bookmarkStart w:id="229" w:name="_Toc31511"/>
      <w:r>
        <w:rPr>
          <w:rFonts w:hint="eastAsia"/>
          <w:color w:val="323232" w:themeColor="text1"/>
          <w:sz w:val="21"/>
          <w:szCs w:val="21"/>
          <w14:textFill>
            <w14:solidFill>
              <w14:schemeClr w14:val="tx1"/>
            </w14:solidFill>
          </w14:textFill>
        </w:rPr>
        <w:t>中建四局建设发展有限公司</w:t>
      </w:r>
      <w:bookmarkEnd w:id="217"/>
      <w:bookmarkEnd w:id="218"/>
      <w:bookmarkEnd w:id="219"/>
      <w:bookmarkEnd w:id="220"/>
      <w:bookmarkEnd w:id="221"/>
      <w:bookmarkEnd w:id="222"/>
      <w:bookmarkEnd w:id="223"/>
      <w:bookmarkEnd w:id="224"/>
      <w:bookmarkEnd w:id="225"/>
      <w:bookmarkEnd w:id="226"/>
      <w:bookmarkEnd w:id="227"/>
      <w:bookmarkEnd w:id="228"/>
      <w:bookmarkEnd w:id="229"/>
    </w:p>
    <w:p>
      <w:pPr>
        <w:pStyle w:val="22"/>
        <w:adjustRightInd w:val="0"/>
        <w:snapToGrid w:val="0"/>
        <w:spacing w:beforeLines="0" w:afterLines="0" w:line="360" w:lineRule="auto"/>
        <w:ind w:firstLine="630" w:firstLineChars="300"/>
        <w:outlineLvl w:val="9"/>
        <w:rPr>
          <w:color w:val="323232" w:themeColor="text1"/>
          <w:sz w:val="21"/>
          <w:szCs w:val="21"/>
          <w14:textFill>
            <w14:solidFill>
              <w14:schemeClr w14:val="tx1"/>
            </w14:solidFill>
          </w14:textFill>
        </w:rPr>
      </w:pPr>
      <w:bookmarkStart w:id="230" w:name="_Toc15296"/>
      <w:bookmarkStart w:id="231" w:name="_Toc22123"/>
      <w:bookmarkStart w:id="232" w:name="_Toc16516"/>
      <w:bookmarkStart w:id="233" w:name="_Toc6215"/>
      <w:bookmarkStart w:id="234" w:name="_Toc24614"/>
      <w:bookmarkStart w:id="235" w:name="_Toc2979"/>
      <w:bookmarkStart w:id="236" w:name="_Toc13949"/>
      <w:bookmarkStart w:id="237" w:name="_Toc8662"/>
      <w:bookmarkStart w:id="238" w:name="_Toc18678"/>
      <w:bookmarkStart w:id="239" w:name="_Toc1462"/>
      <w:bookmarkStart w:id="240" w:name="_Toc4308"/>
      <w:bookmarkStart w:id="241" w:name="_Toc12909"/>
      <w:bookmarkStart w:id="242" w:name="_Toc27171"/>
      <w:bookmarkStart w:id="243" w:name="_Toc8774"/>
      <w:bookmarkStart w:id="244" w:name="_Toc9294"/>
      <w:bookmarkStart w:id="245" w:name="_Toc18456"/>
      <w:bookmarkStart w:id="246" w:name="_Toc10237"/>
      <w:bookmarkStart w:id="247" w:name="_Toc7021"/>
      <w:bookmarkStart w:id="248" w:name="_Toc18928"/>
      <w:bookmarkStart w:id="249" w:name="_Toc19457"/>
      <w:bookmarkStart w:id="250" w:name="_Toc9921"/>
      <w:bookmarkStart w:id="251" w:name="_Toc13538"/>
      <w:bookmarkStart w:id="252" w:name="_Toc18742"/>
      <w:bookmarkStart w:id="253" w:name="_Toc25220"/>
      <w:bookmarkStart w:id="254" w:name="_Toc18307"/>
      <w:bookmarkStart w:id="255" w:name="_Toc605"/>
      <w:bookmarkStart w:id="256" w:name="_Toc1819"/>
      <w:r>
        <w:rPr>
          <w:color w:val="323232" w:themeColor="text1"/>
          <w:sz w:val="21"/>
          <w:szCs w:val="21"/>
          <w14:textFill>
            <w14:solidFill>
              <w14:schemeClr w14:val="tx1"/>
            </w14:solidFill>
          </w14:textFill>
        </w:rPr>
        <w:t>批准部门：福建省住房和城乡建设厅</w:t>
      </w:r>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pPr>
        <w:pStyle w:val="22"/>
        <w:adjustRightInd w:val="0"/>
        <w:snapToGrid w:val="0"/>
        <w:spacing w:beforeLines="0" w:afterLines="0" w:line="360" w:lineRule="auto"/>
        <w:ind w:firstLine="630" w:firstLineChars="300"/>
        <w:outlineLvl w:val="9"/>
        <w:rPr>
          <w:color w:val="323232" w:themeColor="text1"/>
          <w14:textFill>
            <w14:solidFill>
              <w14:schemeClr w14:val="tx1"/>
            </w14:solidFill>
          </w14:textFill>
        </w:rPr>
      </w:pPr>
      <w:bookmarkStart w:id="257" w:name="_Toc22040"/>
      <w:bookmarkStart w:id="258" w:name="_Toc2018"/>
      <w:bookmarkStart w:id="259" w:name="_Toc15934"/>
      <w:bookmarkStart w:id="260" w:name="_Toc19450"/>
      <w:bookmarkStart w:id="261" w:name="_Toc25229"/>
      <w:bookmarkStart w:id="262" w:name="_Toc18411"/>
      <w:bookmarkStart w:id="263" w:name="_Toc9490"/>
      <w:bookmarkStart w:id="264" w:name="_Toc17477"/>
      <w:bookmarkStart w:id="265" w:name="_Toc6406"/>
      <w:bookmarkStart w:id="266" w:name="_Toc12422"/>
      <w:bookmarkStart w:id="267" w:name="_Toc13524"/>
      <w:bookmarkStart w:id="268" w:name="_Toc30974"/>
      <w:bookmarkStart w:id="269" w:name="_Toc21122"/>
      <w:bookmarkStart w:id="270" w:name="_Toc8173"/>
      <w:bookmarkStart w:id="271" w:name="_Toc19949"/>
      <w:bookmarkStart w:id="272" w:name="_Toc10480"/>
      <w:bookmarkStart w:id="273" w:name="_Toc32726"/>
      <w:bookmarkStart w:id="274" w:name="_Toc21791"/>
      <w:bookmarkStart w:id="275" w:name="_Toc32069"/>
      <w:bookmarkStart w:id="276" w:name="_Toc19790"/>
      <w:bookmarkStart w:id="277" w:name="_Toc9233"/>
      <w:bookmarkStart w:id="278" w:name="_Toc31758"/>
      <w:bookmarkStart w:id="279" w:name="_Toc7139"/>
      <w:bookmarkStart w:id="280" w:name="_Toc11406"/>
      <w:bookmarkStart w:id="281" w:name="_Toc18502"/>
      <w:bookmarkStart w:id="282" w:name="_Toc30960"/>
      <w:bookmarkStart w:id="283" w:name="_Toc17900"/>
      <w:r>
        <w:rPr>
          <w:color w:val="323232" w:themeColor="text1"/>
          <w:sz w:val="21"/>
          <w:szCs w:val="21"/>
          <w14:textFill>
            <w14:solidFill>
              <w14:schemeClr w14:val="tx1"/>
            </w14:solidFill>
          </w14:textFill>
        </w:rPr>
        <w:t>实施日期：</w:t>
      </w:r>
      <w:r>
        <w:rPr>
          <w:rFonts w:hint="eastAsia"/>
          <w:color w:val="323232" w:themeColor="text1"/>
          <w:sz w:val="21"/>
          <w:szCs w:val="21"/>
          <w14:textFill>
            <w14:solidFill>
              <w14:schemeClr w14:val="tx1"/>
            </w14:solidFill>
          </w14:textFill>
        </w:rPr>
        <w:t>2022</w:t>
      </w:r>
      <w:r>
        <w:rPr>
          <w:color w:val="323232" w:themeColor="text1"/>
          <w:sz w:val="21"/>
          <w:szCs w:val="21"/>
          <w14:textFill>
            <w14:solidFill>
              <w14:schemeClr w14:val="tx1"/>
            </w14:solidFill>
          </w14:textFill>
        </w:rPr>
        <w:t xml:space="preserve"> 年 ×× 月 ×× 日</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pPr>
        <w:adjustRightInd w:val="0"/>
        <w:snapToGrid w:val="0"/>
        <w:spacing w:beforeLines="0" w:afterLines="0" w:line="360" w:lineRule="auto"/>
        <w:jc w:val="center"/>
        <w:rPr>
          <w:rFonts w:eastAsia="黑体"/>
          <w:color w:val="323232" w:themeColor="text1"/>
          <w:sz w:val="28"/>
          <w:szCs w:val="28"/>
          <w14:textFill>
            <w14:solidFill>
              <w14:schemeClr w14:val="tx1"/>
            </w14:solidFill>
          </w14:textFill>
        </w:rPr>
      </w:pPr>
    </w:p>
    <w:p>
      <w:pPr>
        <w:adjustRightInd w:val="0"/>
        <w:snapToGrid w:val="0"/>
        <w:spacing w:beforeLines="0" w:afterLines="0" w:line="360" w:lineRule="auto"/>
        <w:jc w:val="center"/>
        <w:rPr>
          <w:rFonts w:eastAsia="黑体"/>
          <w:color w:val="323232" w:themeColor="text1"/>
          <w:sz w:val="24"/>
          <w14:textFill>
            <w14:solidFill>
              <w14:schemeClr w14:val="tx1"/>
            </w14:solidFill>
          </w14:textFill>
        </w:rPr>
      </w:pPr>
      <w:r>
        <w:rPr>
          <w:rFonts w:hint="eastAsia" w:eastAsia="黑体"/>
          <w:color w:val="323232" w:themeColor="text1"/>
          <w:sz w:val="24"/>
          <w14:textFill>
            <w14:solidFill>
              <w14:schemeClr w14:val="tx1"/>
            </w14:solidFill>
          </w14:textFill>
        </w:rPr>
        <w:t>2022</w:t>
      </w:r>
      <w:r>
        <w:rPr>
          <w:rFonts w:eastAsia="黑体"/>
          <w:color w:val="323232" w:themeColor="text1"/>
          <w:sz w:val="24"/>
          <w14:textFill>
            <w14:solidFill>
              <w14:schemeClr w14:val="tx1"/>
            </w14:solidFill>
          </w14:textFill>
        </w:rPr>
        <w:t xml:space="preserve"> 年   福州</w:t>
      </w:r>
    </w:p>
    <w:p>
      <w:pPr>
        <w:adjustRightInd w:val="0"/>
        <w:snapToGrid w:val="0"/>
        <w:spacing w:beforeLines="0" w:afterLines="0"/>
        <w:rPr>
          <w:b/>
          <w:bCs/>
          <w:color w:val="323232" w:themeColor="text1"/>
          <w:sz w:val="28"/>
          <w:szCs w:val="28"/>
          <w14:textFill>
            <w14:solidFill>
              <w14:schemeClr w14:val="tx1"/>
            </w14:solidFill>
          </w14:textFill>
        </w:rPr>
      </w:pPr>
    </w:p>
    <w:p>
      <w:pPr>
        <w:adjustRightInd w:val="0"/>
        <w:snapToGrid w:val="0"/>
        <w:jc w:val="center"/>
        <w:rPr>
          <w:b/>
          <w:bCs/>
          <w:color w:val="323232" w:themeColor="text1"/>
          <w:sz w:val="28"/>
          <w:szCs w:val="28"/>
          <w14:textFill>
            <w14:solidFill>
              <w14:schemeClr w14:val="tx1"/>
            </w14:solidFill>
          </w14:textFill>
        </w:rPr>
        <w:sectPr>
          <w:footerReference r:id="rId3" w:type="default"/>
          <w:pgSz w:w="7937" w:h="11906"/>
          <w:pgMar w:top="1134" w:right="1134" w:bottom="1134" w:left="1134" w:header="851" w:footer="992" w:gutter="0"/>
          <w:pgNumType w:fmt="decimal" w:start="1"/>
          <w:cols w:space="0" w:num="1"/>
          <w:docGrid w:type="lines" w:linePitch="312" w:charSpace="0"/>
        </w:sectPr>
      </w:pPr>
    </w:p>
    <w:p>
      <w:pPr>
        <w:pageBreakBefore/>
        <w:adjustRightInd w:val="0"/>
        <w:snapToGrid w:val="0"/>
        <w:spacing w:line="360" w:lineRule="auto"/>
        <w:jc w:val="center"/>
        <w:rPr>
          <w:rFonts w:eastAsia="黑体"/>
          <w:color w:val="323232" w:themeColor="text1"/>
          <w:kern w:val="44"/>
          <w:sz w:val="32"/>
          <w:szCs w:val="32"/>
          <w14:textFill>
            <w14:solidFill>
              <w14:schemeClr w14:val="tx1"/>
            </w14:solidFill>
          </w14:textFill>
        </w:rPr>
      </w:pPr>
      <w:r>
        <w:rPr>
          <w:rFonts w:hint="eastAsia" w:eastAsia="黑体"/>
          <w:color w:val="323232" w:themeColor="text1"/>
          <w:kern w:val="44"/>
          <w:sz w:val="32"/>
          <w:szCs w:val="32"/>
          <w14:textFill>
            <w14:solidFill>
              <w14:schemeClr w14:val="tx1"/>
            </w14:solidFill>
          </w14:textFill>
        </w:rPr>
        <w:t>前   言</w:t>
      </w:r>
    </w:p>
    <w:p>
      <w:pPr>
        <w:adjustRightInd w:val="0"/>
        <w:snapToGrid w:val="0"/>
        <w:jc w:val="center"/>
        <w:rPr>
          <w:b/>
          <w:bCs/>
          <w:color w:val="323232" w:themeColor="text1"/>
          <w:sz w:val="36"/>
          <w14:textFill>
            <w14:solidFill>
              <w14:schemeClr w14:val="tx1"/>
            </w14:solidFill>
          </w14:textFill>
        </w:rPr>
      </w:pPr>
    </w:p>
    <w:p>
      <w:pPr>
        <w:adjustRightInd w:val="0"/>
        <w:snapToGrid w:val="0"/>
        <w:spacing w:line="360" w:lineRule="auto"/>
        <w:ind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根据福建省住房和城乡建设厅《关于</w:t>
      </w:r>
      <w:r>
        <w:rPr>
          <w:rFonts w:hint="eastAsia"/>
          <w:color w:val="323232" w:themeColor="text1"/>
          <w:szCs w:val="21"/>
          <w14:textFill>
            <w14:solidFill>
              <w14:schemeClr w14:val="tx1"/>
            </w14:solidFill>
          </w14:textFill>
        </w:rPr>
        <w:t>公布全</w:t>
      </w:r>
      <w:r>
        <w:rPr>
          <w:color w:val="323232" w:themeColor="text1"/>
          <w:szCs w:val="21"/>
          <w14:textFill>
            <w14:solidFill>
              <w14:schemeClr w14:val="tx1"/>
            </w14:solidFill>
          </w14:textFill>
        </w:rPr>
        <w:t>省住房和城乡建设</w:t>
      </w:r>
      <w:r>
        <w:rPr>
          <w:rFonts w:hint="eastAsia"/>
          <w:color w:val="323232" w:themeColor="text1"/>
          <w:szCs w:val="21"/>
          <w14:textFill>
            <w14:solidFill>
              <w14:schemeClr w14:val="tx1"/>
            </w14:solidFill>
          </w14:textFill>
        </w:rPr>
        <w:t>行业</w:t>
      </w:r>
      <w:r>
        <w:rPr>
          <w:color w:val="323232" w:themeColor="text1"/>
          <w:szCs w:val="21"/>
          <w14:textFill>
            <w14:solidFill>
              <w14:schemeClr w14:val="tx1"/>
            </w14:solidFill>
          </w14:textFill>
        </w:rPr>
        <w:t>20</w:t>
      </w:r>
      <w:r>
        <w:rPr>
          <w:rFonts w:hint="eastAsia"/>
          <w:color w:val="323232" w:themeColor="text1"/>
          <w:szCs w:val="21"/>
          <w14:textFill>
            <w14:solidFill>
              <w14:schemeClr w14:val="tx1"/>
            </w14:solidFill>
          </w14:textFill>
        </w:rPr>
        <w:t>20</w:t>
      </w:r>
      <w:r>
        <w:rPr>
          <w:color w:val="323232" w:themeColor="text1"/>
          <w:szCs w:val="21"/>
          <w14:textFill>
            <w14:solidFill>
              <w14:schemeClr w14:val="tx1"/>
            </w14:solidFill>
          </w14:textFill>
        </w:rPr>
        <w:t>年第</w:t>
      </w:r>
      <w:r>
        <w:rPr>
          <w:rFonts w:hint="eastAsia"/>
          <w:color w:val="323232" w:themeColor="text1"/>
          <w:szCs w:val="21"/>
          <w14:textFill>
            <w14:solidFill>
              <w14:schemeClr w14:val="tx1"/>
            </w14:solidFill>
          </w14:textFill>
        </w:rPr>
        <w:t>一</w:t>
      </w:r>
      <w:r>
        <w:rPr>
          <w:color w:val="323232" w:themeColor="text1"/>
          <w:szCs w:val="21"/>
          <w14:textFill>
            <w14:solidFill>
              <w14:schemeClr w14:val="tx1"/>
            </w14:solidFill>
          </w14:textFill>
        </w:rPr>
        <w:t>批科学技术计划项目的通知》</w:t>
      </w:r>
      <w:r>
        <w:rPr>
          <w:rFonts w:hint="eastAsia"/>
          <w:color w:val="323232" w:themeColor="text1"/>
          <w:szCs w:val="21"/>
          <w14:textFill>
            <w14:solidFill>
              <w14:schemeClr w14:val="tx1"/>
            </w14:solidFill>
          </w14:textFill>
        </w:rPr>
        <w:t>（</w:t>
      </w:r>
      <w:r>
        <w:rPr>
          <w:color w:val="323232" w:themeColor="text1"/>
          <w:szCs w:val="21"/>
          <w14:textFill>
            <w14:solidFill>
              <w14:schemeClr w14:val="tx1"/>
            </w14:solidFill>
          </w14:textFill>
        </w:rPr>
        <w:t>闽建办科〔2020〕</w:t>
      </w:r>
      <w:r>
        <w:rPr>
          <w:rFonts w:hint="eastAsia"/>
          <w:color w:val="323232" w:themeColor="text1"/>
          <w:szCs w:val="21"/>
          <w14:textFill>
            <w14:solidFill>
              <w14:schemeClr w14:val="tx1"/>
            </w14:solidFill>
          </w14:textFill>
        </w:rPr>
        <w:t>3</w:t>
      </w:r>
      <w:r>
        <w:rPr>
          <w:color w:val="323232" w:themeColor="text1"/>
          <w:szCs w:val="21"/>
          <w14:textFill>
            <w14:solidFill>
              <w14:schemeClr w14:val="tx1"/>
            </w14:solidFill>
          </w14:textFill>
        </w:rPr>
        <w:t>号</w:t>
      </w:r>
      <w:r>
        <w:rPr>
          <w:rFonts w:hint="eastAsia"/>
          <w:color w:val="323232" w:themeColor="text1"/>
          <w:szCs w:val="21"/>
          <w14:textFill>
            <w14:solidFill>
              <w14:schemeClr w14:val="tx1"/>
            </w14:solidFill>
          </w14:textFill>
        </w:rPr>
        <w:t>）</w:t>
      </w:r>
      <w:r>
        <w:rPr>
          <w:color w:val="323232" w:themeColor="text1"/>
          <w:szCs w:val="21"/>
          <w14:textFill>
            <w14:solidFill>
              <w14:schemeClr w14:val="tx1"/>
            </w14:solidFill>
          </w14:textFill>
        </w:rPr>
        <w:t>的要求，编制组经广泛调查研究，</w:t>
      </w:r>
      <w:r>
        <w:rPr>
          <w:rFonts w:hint="eastAsia"/>
          <w:color w:val="323232" w:themeColor="text1"/>
          <w:szCs w:val="21"/>
          <w14:textFill>
            <w14:solidFill>
              <w14:schemeClr w14:val="tx1"/>
            </w14:solidFill>
          </w14:textFill>
        </w:rPr>
        <w:t>认真总结实践经验，参考国内有关标准及国内外先进经验，并</w:t>
      </w:r>
      <w:r>
        <w:rPr>
          <w:color w:val="323232" w:themeColor="text1"/>
          <w:szCs w:val="21"/>
          <w14:textFill>
            <w14:solidFill>
              <w14:schemeClr w14:val="tx1"/>
            </w14:solidFill>
          </w14:textFill>
        </w:rPr>
        <w:t>广泛征求意见的基础上，</w:t>
      </w:r>
      <w:r>
        <w:rPr>
          <w:rFonts w:hint="eastAsia"/>
          <w:color w:val="323232" w:themeColor="text1"/>
          <w:szCs w:val="21"/>
          <w14:textFill>
            <w14:solidFill>
              <w14:schemeClr w14:val="tx1"/>
            </w14:solidFill>
          </w14:textFill>
        </w:rPr>
        <w:t>编制了</w:t>
      </w:r>
      <w:r>
        <w:rPr>
          <w:color w:val="323232" w:themeColor="text1"/>
          <w:szCs w:val="21"/>
          <w14:textFill>
            <w14:solidFill>
              <w14:schemeClr w14:val="tx1"/>
            </w14:solidFill>
          </w14:textFill>
        </w:rPr>
        <w:t>本</w:t>
      </w:r>
      <w:r>
        <w:rPr>
          <w:rFonts w:hint="eastAsia"/>
          <w:color w:val="323232" w:themeColor="text1"/>
          <w:szCs w:val="21"/>
          <w14:textFill>
            <w14:solidFill>
              <w14:schemeClr w14:val="tx1"/>
            </w14:solidFill>
          </w14:textFill>
        </w:rPr>
        <w:t>标准</w:t>
      </w:r>
      <w:r>
        <w:rPr>
          <w:color w:val="323232" w:themeColor="text1"/>
          <w:szCs w:val="21"/>
          <w14:textFill>
            <w14:solidFill>
              <w14:schemeClr w14:val="tx1"/>
            </w14:solidFill>
          </w14:textFill>
        </w:rPr>
        <w:t>。</w:t>
      </w:r>
    </w:p>
    <w:p>
      <w:pPr>
        <w:adjustRightInd w:val="0"/>
        <w:snapToGrid w:val="0"/>
        <w:spacing w:line="360" w:lineRule="auto"/>
        <w:ind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本</w:t>
      </w:r>
      <w:r>
        <w:rPr>
          <w:rFonts w:hint="eastAsia"/>
          <w:color w:val="323232" w:themeColor="text1"/>
          <w:szCs w:val="21"/>
          <w14:textFill>
            <w14:solidFill>
              <w14:schemeClr w14:val="tx1"/>
            </w14:solidFill>
          </w14:textFill>
        </w:rPr>
        <w:t>标准</w:t>
      </w:r>
      <w:r>
        <w:rPr>
          <w:color w:val="323232" w:themeColor="text1"/>
          <w:szCs w:val="21"/>
          <w14:textFill>
            <w14:solidFill>
              <w14:schemeClr w14:val="tx1"/>
            </w14:solidFill>
          </w14:textFill>
        </w:rPr>
        <w:t>共7章，主要技术内容有：1总则；2术语和符号；3基本规定；4</w:t>
      </w:r>
      <w:r>
        <w:rPr>
          <w:rFonts w:hint="eastAsia"/>
          <w:color w:val="323232" w:themeColor="text1"/>
          <w:szCs w:val="21"/>
          <w:lang w:eastAsia="zh-CN"/>
          <w14:textFill>
            <w14:solidFill>
              <w14:schemeClr w14:val="tx1"/>
            </w14:solidFill>
          </w14:textFill>
        </w:rPr>
        <w:t>工程</w:t>
      </w:r>
      <w:r>
        <w:rPr>
          <w:rFonts w:hint="eastAsia"/>
          <w:color w:val="323232" w:themeColor="text1"/>
          <w:szCs w:val="21"/>
          <w14:textFill>
            <w14:solidFill>
              <w14:schemeClr w14:val="tx1"/>
            </w14:solidFill>
          </w14:textFill>
        </w:rPr>
        <w:t>勘察</w:t>
      </w:r>
      <w:r>
        <w:rPr>
          <w:color w:val="323232" w:themeColor="text1"/>
          <w:szCs w:val="21"/>
          <w14:textFill>
            <w14:solidFill>
              <w14:schemeClr w14:val="tx1"/>
            </w14:solidFill>
          </w14:textFill>
        </w:rPr>
        <w:t>；5</w:t>
      </w:r>
      <w:r>
        <w:rPr>
          <w:rFonts w:hint="eastAsia"/>
          <w:color w:val="323232" w:themeColor="text1"/>
          <w:szCs w:val="21"/>
          <w14:textFill>
            <w14:solidFill>
              <w14:schemeClr w14:val="tx1"/>
            </w14:solidFill>
          </w14:textFill>
        </w:rPr>
        <w:t>方案制定</w:t>
      </w:r>
      <w:r>
        <w:rPr>
          <w:color w:val="323232" w:themeColor="text1"/>
          <w:szCs w:val="21"/>
          <w14:textFill>
            <w14:solidFill>
              <w14:schemeClr w14:val="tx1"/>
            </w14:solidFill>
          </w14:textFill>
        </w:rPr>
        <w:t>；6施工；7</w:t>
      </w:r>
      <w:r>
        <w:rPr>
          <w:rFonts w:hint="eastAsia"/>
          <w:color w:val="323232" w:themeColor="text1"/>
          <w:szCs w:val="21"/>
          <w14:textFill>
            <w14:solidFill>
              <w14:schemeClr w14:val="tx1"/>
            </w14:solidFill>
          </w14:textFill>
        </w:rPr>
        <w:t>检验与验收</w:t>
      </w:r>
      <w:r>
        <w:rPr>
          <w:color w:val="323232" w:themeColor="text1"/>
          <w:szCs w:val="21"/>
          <w14:textFill>
            <w14:solidFill>
              <w14:schemeClr w14:val="tx1"/>
            </w14:solidFill>
          </w14:textFill>
        </w:rPr>
        <w:t>。</w:t>
      </w:r>
    </w:p>
    <w:p>
      <w:pPr>
        <w:adjustRightInd w:val="0"/>
        <w:snapToGrid w:val="0"/>
        <w:spacing w:line="360" w:lineRule="auto"/>
        <w:ind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本</w:t>
      </w:r>
      <w:r>
        <w:rPr>
          <w:rFonts w:hint="eastAsia"/>
          <w:color w:val="323232" w:themeColor="text1"/>
          <w:szCs w:val="21"/>
          <w14:textFill>
            <w14:solidFill>
              <w14:schemeClr w14:val="tx1"/>
            </w14:solidFill>
          </w14:textFill>
        </w:rPr>
        <w:t>标准</w:t>
      </w:r>
      <w:r>
        <w:rPr>
          <w:color w:val="323232" w:themeColor="text1"/>
          <w:szCs w:val="21"/>
          <w14:textFill>
            <w14:solidFill>
              <w14:schemeClr w14:val="tx1"/>
            </w14:solidFill>
          </w14:textFill>
        </w:rPr>
        <w:t>由福建省住房和城乡建设厅负责管理，由福建省建筑科学研究院有限责任公司负责具体技术内容的解释，执行过程中如有意见和建议，请寄送福建省住房和城乡建设厅建筑节能与科技处</w:t>
      </w:r>
      <w:r>
        <w:rPr>
          <w:rFonts w:hint="eastAsia"/>
          <w:color w:val="323232" w:themeColor="text1"/>
          <w:szCs w:val="21"/>
          <w14:textFill>
            <w14:solidFill>
              <w14:schemeClr w14:val="tx1"/>
            </w14:solidFill>
          </w14:textFill>
        </w:rPr>
        <w:t>（</w:t>
      </w:r>
      <w:r>
        <w:rPr>
          <w:color w:val="323232" w:themeColor="text1"/>
          <w:szCs w:val="21"/>
          <w14:textFill>
            <w14:solidFill>
              <w14:schemeClr w14:val="tx1"/>
            </w14:solidFill>
          </w14:textFill>
        </w:rPr>
        <w:t>福州市北大路242号，邮政编码：350001）和福建省建筑科学研究院有限责任公司</w:t>
      </w:r>
      <w:r>
        <w:rPr>
          <w:rFonts w:hint="eastAsia"/>
          <w:color w:val="323232" w:themeColor="text1"/>
          <w:szCs w:val="21"/>
          <w14:textFill>
            <w14:solidFill>
              <w14:schemeClr w14:val="tx1"/>
            </w14:solidFill>
          </w14:textFill>
        </w:rPr>
        <w:t>（</w:t>
      </w:r>
      <w:r>
        <w:rPr>
          <w:color w:val="323232" w:themeColor="text1"/>
          <w:szCs w:val="21"/>
          <w14:textFill>
            <w14:solidFill>
              <w14:schemeClr w14:val="tx1"/>
            </w14:solidFill>
          </w14:textFill>
        </w:rPr>
        <w:t>地址：福州市高新区创业路8号万福中心3号楼</w:t>
      </w:r>
      <w:r>
        <w:rPr>
          <w:rFonts w:hint="eastAsia"/>
          <w:color w:val="323232" w:themeColor="text1"/>
          <w:szCs w:val="21"/>
          <w14:textFill>
            <w14:solidFill>
              <w14:schemeClr w14:val="tx1"/>
            </w14:solidFill>
          </w14:textFill>
        </w:rPr>
        <w:t>18</w:t>
      </w:r>
      <w:r>
        <w:rPr>
          <w:color w:val="323232" w:themeColor="text1"/>
          <w:szCs w:val="21"/>
          <w14:textFill>
            <w14:solidFill>
              <w14:schemeClr w14:val="tx1"/>
            </w14:solidFill>
          </w14:textFill>
        </w:rPr>
        <w:t>层，邮政编码：350108）。</w:t>
      </w:r>
    </w:p>
    <w:p>
      <w:pPr>
        <w:adjustRightInd w:val="0"/>
        <w:snapToGrid w:val="0"/>
        <w:spacing w:line="360" w:lineRule="auto"/>
        <w:ind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主编单位：福建省建筑科学研究院有限责任公司</w:t>
      </w:r>
    </w:p>
    <w:p>
      <w:pPr>
        <w:adjustRightInd w:val="0"/>
        <w:snapToGrid w:val="0"/>
        <w:spacing w:line="360" w:lineRule="auto"/>
        <w:ind w:firstLine="420" w:firstLineChars="2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          中建四局建设发展有限公司</w:t>
      </w:r>
    </w:p>
    <w:p>
      <w:pPr>
        <w:adjustRightInd w:val="0"/>
        <w:snapToGrid w:val="0"/>
        <w:spacing w:line="360" w:lineRule="auto"/>
        <w:ind w:firstLine="420" w:firstLineChars="200"/>
      </w:pPr>
      <w:r>
        <w:rPr>
          <w:color w:val="323232" w:themeColor="text1"/>
          <w:szCs w:val="21"/>
          <w14:textFill>
            <w14:solidFill>
              <w14:schemeClr w14:val="tx1"/>
            </w14:solidFill>
          </w14:textFill>
        </w:rPr>
        <w:t>参编单位：</w:t>
      </w:r>
      <w:r>
        <w:rPr>
          <w:rFonts w:hint="eastAsia"/>
          <w:color w:val="323232" w:themeColor="text1"/>
          <w:szCs w:val="21"/>
          <w14:textFill>
            <w14:solidFill>
              <w14:schemeClr w14:val="tx1"/>
            </w14:solidFill>
          </w14:textFill>
        </w:rPr>
        <w:t>福</w:t>
      </w:r>
      <w:r>
        <w:rPr>
          <w:rFonts w:hint="eastAsia"/>
        </w:rPr>
        <w:t>建建中建设科技有限责任公司</w:t>
      </w:r>
    </w:p>
    <w:p>
      <w:pPr>
        <w:adjustRightInd w:val="0"/>
        <w:snapToGrid w:val="0"/>
        <w:spacing w:line="360" w:lineRule="auto"/>
        <w:ind w:firstLine="420" w:firstLineChars="200"/>
      </w:pPr>
      <w:r>
        <w:rPr>
          <w:rFonts w:hint="eastAsia"/>
        </w:rPr>
        <w:t xml:space="preserve">          上海中联重科桩工机械有限公司</w:t>
      </w:r>
    </w:p>
    <w:p>
      <w:pPr>
        <w:adjustRightInd w:val="0"/>
        <w:snapToGrid w:val="0"/>
        <w:spacing w:line="360" w:lineRule="auto"/>
        <w:ind w:firstLine="420" w:firstLineChars="200"/>
      </w:pPr>
      <w:r>
        <w:rPr>
          <w:rFonts w:hint="eastAsia"/>
        </w:rPr>
        <w:t xml:space="preserve">          中建八局（厦门）建设有限公司</w:t>
      </w:r>
    </w:p>
    <w:p>
      <w:pPr>
        <w:adjustRightInd w:val="0"/>
        <w:snapToGrid w:val="0"/>
        <w:spacing w:line="360" w:lineRule="auto"/>
        <w:ind w:firstLine="420" w:firstLineChars="200"/>
      </w:pPr>
      <w:r>
        <w:rPr>
          <w:rFonts w:hint="eastAsia"/>
        </w:rPr>
        <w:t xml:space="preserve">          福州第七建筑工程有限公司</w:t>
      </w:r>
    </w:p>
    <w:p>
      <w:pPr>
        <w:adjustRightInd w:val="0"/>
        <w:snapToGrid w:val="0"/>
        <w:spacing w:line="360" w:lineRule="auto"/>
        <w:ind w:firstLine="420" w:firstLineChars="200"/>
        <w:rPr>
          <w:color w:val="323232" w:themeColor="text1"/>
          <w:szCs w:val="21"/>
          <w14:textFill>
            <w14:solidFill>
              <w14:schemeClr w14:val="tx1"/>
            </w14:solidFill>
          </w14:textFill>
        </w:rPr>
      </w:pPr>
      <w:r>
        <w:rPr>
          <w:rFonts w:hint="eastAsia"/>
        </w:rPr>
        <w:t xml:space="preserve">          </w:t>
      </w:r>
      <w:r>
        <w:fldChar w:fldCharType="begin"/>
      </w:r>
      <w:r>
        <w:instrText xml:space="preserve"> HYPERLINK "https://xin.baidu.com/detail/compinfo?pid=xlTM-TogKuTw72E3giufSpWrp*T*bhNhVQmd&amp;rq=efn&amp;pd=ee&amp;from=ps" \t "https://www.baidu.com/_blank" </w:instrText>
      </w:r>
      <w:r>
        <w:fldChar w:fldCharType="separate"/>
      </w:r>
      <w:r>
        <w:rPr>
          <w:rFonts w:hint="eastAsia"/>
        </w:rPr>
        <w:t>福建省建筑设计研究院有限公司</w:t>
      </w:r>
      <w:r>
        <w:rPr>
          <w:rFonts w:hint="eastAsia"/>
        </w:rPr>
        <w:fldChar w:fldCharType="end"/>
      </w:r>
    </w:p>
    <w:p>
      <w:pPr>
        <w:adjustRightInd w:val="0"/>
        <w:snapToGrid w:val="0"/>
        <w:spacing w:line="360" w:lineRule="auto"/>
        <w:ind w:firstLine="1470" w:firstLineChars="7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福建省建研工程检测有限公司</w:t>
      </w:r>
    </w:p>
    <w:p>
      <w:pPr>
        <w:adjustRightInd w:val="0"/>
        <w:snapToGrid w:val="0"/>
        <w:spacing w:line="360" w:lineRule="auto"/>
        <w:ind w:firstLine="1470" w:firstLineChars="7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福建岩海岩土工程有限公司</w:t>
      </w:r>
    </w:p>
    <w:p>
      <w:pPr>
        <w:adjustRightInd w:val="0"/>
        <w:snapToGrid w:val="0"/>
        <w:spacing w:line="360" w:lineRule="auto"/>
        <w:ind w:firstLine="1470" w:firstLineChars="7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中船勘察设计研究院有限公司</w:t>
      </w:r>
    </w:p>
    <w:p>
      <w:pPr>
        <w:spacing w:line="360" w:lineRule="auto"/>
        <w:ind w:firstLine="420" w:firstLineChars="200"/>
        <w:rPr>
          <w:rFonts w:ascii="宋体" w:hAnsi="宋体" w:cs="宋体"/>
          <w:szCs w:val="21"/>
        </w:rPr>
      </w:pPr>
      <w:r>
        <w:rPr>
          <w:color w:val="323232" w:themeColor="text1"/>
          <w:szCs w:val="21"/>
          <w14:textFill>
            <w14:solidFill>
              <w14:schemeClr w14:val="tx1"/>
            </w14:solidFill>
          </w14:textFill>
        </w:rPr>
        <w:t>主要起草人：</w:t>
      </w:r>
      <w:r>
        <w:rPr>
          <w:rFonts w:hint="eastAsia" w:ascii="宋体" w:hAnsi="宋体" w:cs="宋体"/>
          <w:szCs w:val="21"/>
        </w:rPr>
        <w:t>周仲景  曾  文  施  峰  梁  曦</w:t>
      </w:r>
    </w:p>
    <w:p>
      <w:pPr>
        <w:spacing w:line="360" w:lineRule="auto"/>
        <w:ind w:firstLine="1680" w:firstLineChars="800"/>
        <w:rPr>
          <w:rFonts w:ascii="宋体" w:hAnsi="宋体" w:cs="宋体"/>
          <w:szCs w:val="21"/>
        </w:rPr>
      </w:pPr>
      <w:r>
        <w:rPr>
          <w:rFonts w:hint="eastAsia" w:ascii="宋体" w:hAnsi="宋体" w:cs="宋体"/>
          <w:szCs w:val="21"/>
        </w:rPr>
        <w:t>卢新建  姜少伟  邵永辉  丘华生</w:t>
      </w:r>
    </w:p>
    <w:p>
      <w:pPr>
        <w:spacing w:line="360" w:lineRule="auto"/>
        <w:ind w:firstLine="1680" w:firstLineChars="800"/>
        <w:rPr>
          <w:rFonts w:ascii="宋体" w:hAnsi="宋体" w:cs="宋体"/>
          <w:szCs w:val="21"/>
        </w:rPr>
      </w:pPr>
      <w:r>
        <w:rPr>
          <w:rFonts w:hint="eastAsia" w:ascii="宋体" w:hAnsi="宋体" w:cs="宋体"/>
          <w:szCs w:val="21"/>
        </w:rPr>
        <w:t>王  磊  张孝松  林生凉  邱志华</w:t>
      </w:r>
    </w:p>
    <w:p>
      <w:pPr>
        <w:spacing w:line="360" w:lineRule="auto"/>
        <w:ind w:firstLine="1680" w:firstLineChars="800"/>
        <w:rPr>
          <w:rFonts w:ascii="宋体" w:hAnsi="宋体" w:cs="宋体"/>
          <w:szCs w:val="21"/>
        </w:rPr>
      </w:pPr>
      <w:r>
        <w:rPr>
          <w:rFonts w:hint="eastAsia" w:ascii="宋体" w:hAnsi="宋体" w:cs="宋体"/>
          <w:szCs w:val="21"/>
        </w:rPr>
        <w:t xml:space="preserve">林飞建  林  叶  李军心  蔡婷婷 </w:t>
      </w:r>
    </w:p>
    <w:p>
      <w:pPr>
        <w:spacing w:line="360" w:lineRule="auto"/>
        <w:ind w:firstLine="1680" w:firstLineChars="800"/>
        <w:rPr>
          <w:rFonts w:ascii="宋体" w:hAnsi="宋体" w:cs="宋体"/>
          <w:szCs w:val="21"/>
        </w:rPr>
      </w:pPr>
      <w:r>
        <w:rPr>
          <w:rFonts w:hint="eastAsia" w:ascii="宋体" w:hAnsi="宋体" w:cs="宋体"/>
          <w:szCs w:val="21"/>
        </w:rPr>
        <w:t xml:space="preserve">谢本立  陈志新  郑晋溪  虞梦泽  </w:t>
      </w:r>
    </w:p>
    <w:p>
      <w:pPr>
        <w:spacing w:line="360" w:lineRule="auto"/>
        <w:ind w:firstLine="1680" w:firstLineChars="800"/>
        <w:rPr>
          <w:color w:val="323232" w:themeColor="text1"/>
          <w:szCs w:val="21"/>
          <w14:textFill>
            <w14:solidFill>
              <w14:schemeClr w14:val="tx1"/>
            </w14:solidFill>
          </w14:textFill>
        </w:rPr>
      </w:pPr>
      <w:r>
        <w:rPr>
          <w:rFonts w:hint="eastAsia" w:ascii="宋体" w:hAnsi="宋体" w:cs="宋体"/>
          <w:szCs w:val="21"/>
        </w:rPr>
        <w:t>陈宝林</w:t>
      </w:r>
    </w:p>
    <w:p>
      <w:pPr>
        <w:adjustRightInd w:val="0"/>
        <w:snapToGrid w:val="0"/>
        <w:ind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主要审查人：</w:t>
      </w:r>
    </w:p>
    <w:p>
      <w:pPr>
        <w:adjustRightInd w:val="0"/>
        <w:snapToGrid w:val="0"/>
        <w:rPr>
          <w:color w:val="323232" w:themeColor="text1"/>
          <w:sz w:val="24"/>
          <w14:textFill>
            <w14:solidFill>
              <w14:schemeClr w14:val="tx1"/>
            </w14:solidFill>
          </w14:textFill>
        </w:rPr>
      </w:pPr>
    </w:p>
    <w:p>
      <w:pPr>
        <w:keepNext/>
        <w:keepLines/>
        <w:pageBreakBefore w:val="0"/>
        <w:spacing w:beforeLines="0" w:afterLines="0" w:line="240" w:lineRule="auto"/>
        <w:outlineLvl w:val="9"/>
        <w:rPr>
          <w:rFonts w:hint="eastAsia" w:eastAsia="黑体"/>
          <w:b w:val="0"/>
          <w:color w:val="323232" w:themeColor="text1"/>
          <w:sz w:val="32"/>
          <w:szCs w:val="32"/>
          <w14:textFill>
            <w14:solidFill>
              <w14:schemeClr w14:val="tx1"/>
            </w14:solidFill>
          </w14:textFill>
        </w:rPr>
      </w:pPr>
      <w:bookmarkStart w:id="284" w:name="_Toc27101"/>
      <w:bookmarkStart w:id="285" w:name="_Toc9456"/>
      <w:bookmarkStart w:id="286" w:name="_Toc13618"/>
      <w:bookmarkStart w:id="287" w:name="_Toc30203"/>
      <w:bookmarkStart w:id="288" w:name="_Toc3417"/>
      <w:bookmarkStart w:id="289" w:name="_Toc25888"/>
      <w:bookmarkStart w:id="290" w:name="_Toc9765"/>
      <w:bookmarkStart w:id="291" w:name="_Toc6503"/>
      <w:bookmarkStart w:id="292" w:name="_Toc18670"/>
    </w:p>
    <w:bookmarkEnd w:id="284"/>
    <w:bookmarkEnd w:id="285"/>
    <w:bookmarkEnd w:id="286"/>
    <w:bookmarkEnd w:id="287"/>
    <w:bookmarkEnd w:id="288"/>
    <w:bookmarkEnd w:id="289"/>
    <w:bookmarkEnd w:id="290"/>
    <w:bookmarkEnd w:id="291"/>
    <w:bookmarkEnd w:id="292"/>
    <w:p>
      <w:pPr>
        <w:keepNext/>
        <w:keepLines/>
        <w:pageBreakBefore w:val="0"/>
        <w:adjustRightInd w:val="0"/>
        <w:snapToGrid w:val="0"/>
        <w:spacing w:before="340" w:beforeLines="0" w:after="330" w:afterLines="0" w:line="240" w:lineRule="auto"/>
        <w:jc w:val="center"/>
        <w:outlineLvl w:val="0"/>
        <w:rPr>
          <w:color w:val="323232" w:themeColor="text1"/>
          <w14:textFill>
            <w14:solidFill>
              <w14:schemeClr w14:val="tx1"/>
            </w14:solidFill>
          </w14:textFill>
        </w:rPr>
      </w:pPr>
      <w:bookmarkStart w:id="293" w:name="_Toc27255"/>
      <w:bookmarkStart w:id="294" w:name="_Toc29639"/>
    </w:p>
    <w:p>
      <w:pPr>
        <w:pStyle w:val="7"/>
        <w:tabs>
          <w:tab w:val="right" w:leader="dot" w:pos="5669"/>
        </w:tabs>
        <w:rPr>
          <w:color w:val="323232" w:themeColor="text1"/>
          <w14:textFill>
            <w14:solidFill>
              <w14:schemeClr w14:val="tx1"/>
            </w14:solidFill>
          </w14:textFill>
        </w:rPr>
      </w:pPr>
      <w:r>
        <w:rPr>
          <w:color w:val="323232" w:themeColor="text1"/>
          <w14:textFill>
            <w14:solidFill>
              <w14:schemeClr w14:val="tx1"/>
            </w14:solidFill>
          </w14:textFill>
        </w:rPr>
        <w:fldChar w:fldCharType="begin"/>
      </w:r>
      <w:r>
        <w:rPr>
          <w:color w:val="323232" w:themeColor="text1"/>
          <w14:textFill>
            <w14:solidFill>
              <w14:schemeClr w14:val="tx1"/>
            </w14:solidFill>
          </w14:textFill>
        </w:rPr>
        <w:instrText xml:space="preserve">TOC \o "1-3" \h \u </w:instrText>
      </w:r>
      <w:r>
        <w:rPr>
          <w:color w:val="323232" w:themeColor="text1"/>
          <w14:textFill>
            <w14:solidFill>
              <w14:schemeClr w14:val="tx1"/>
            </w14:solidFill>
          </w14:textFill>
        </w:rPr>
        <w:fldChar w:fldCharType="separate"/>
      </w: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rPr>
          <w:color w:val="323232" w:themeColor="text1"/>
          <w14:textFill>
            <w14:solidFill>
              <w14:schemeClr w14:val="tx1"/>
            </w14:solidFill>
          </w14:textFill>
        </w:rPr>
      </w:pPr>
    </w:p>
    <w:p>
      <w:pPr>
        <w:jc w:val="center"/>
        <w:rPr>
          <w:rFonts w:hint="eastAsia" w:ascii="黑体" w:hAnsi="黑体" w:eastAsia="黑体" w:cs="黑体"/>
          <w:b w:val="0"/>
          <w:bCs w:val="0"/>
          <w:color w:val="323232" w:themeColor="text1"/>
          <w:sz w:val="32"/>
          <w:szCs w:val="32"/>
          <w:lang w:eastAsia="zh-CN"/>
          <w14:textFill>
            <w14:solidFill>
              <w14:schemeClr w14:val="tx1"/>
            </w14:solidFill>
          </w14:textFill>
        </w:rPr>
      </w:pPr>
      <w:r>
        <w:rPr>
          <w:rFonts w:hint="eastAsia" w:ascii="黑体" w:hAnsi="黑体" w:eastAsia="黑体" w:cs="黑体"/>
          <w:b w:val="0"/>
          <w:bCs w:val="0"/>
          <w:color w:val="323232" w:themeColor="text1"/>
          <w:sz w:val="32"/>
          <w:szCs w:val="32"/>
          <w:lang w:eastAsia="zh-CN"/>
          <w14:textFill>
            <w14:solidFill>
              <w14:schemeClr w14:val="tx1"/>
            </w14:solidFill>
          </w14:textFill>
        </w:rPr>
        <w:t>目</w:t>
      </w:r>
      <w:r>
        <w:rPr>
          <w:rFonts w:hint="eastAsia" w:ascii="黑体" w:hAnsi="黑体" w:eastAsia="黑体" w:cs="黑体"/>
          <w:b w:val="0"/>
          <w:bCs w:val="0"/>
          <w:color w:val="323232" w:themeColor="text1"/>
          <w:sz w:val="32"/>
          <w:szCs w:val="32"/>
          <w:lang w:val="en-US" w:eastAsia="zh-CN"/>
          <w14:textFill>
            <w14:solidFill>
              <w14:schemeClr w14:val="tx1"/>
            </w14:solidFill>
          </w14:textFill>
        </w:rPr>
        <w:t xml:space="preserve">  </w:t>
      </w:r>
      <w:r>
        <w:rPr>
          <w:rFonts w:hint="eastAsia" w:ascii="黑体" w:hAnsi="黑体" w:eastAsia="黑体" w:cs="黑体"/>
          <w:b w:val="0"/>
          <w:bCs w:val="0"/>
          <w:color w:val="323232" w:themeColor="text1"/>
          <w:sz w:val="32"/>
          <w:szCs w:val="32"/>
          <w:lang w:eastAsia="zh-CN"/>
          <w14:textFill>
            <w14:solidFill>
              <w14:schemeClr w14:val="tx1"/>
            </w14:solidFill>
          </w14:textFill>
        </w:rPr>
        <w:t>次</w:t>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_Toc31226 </w:instrText>
      </w:r>
      <w:r>
        <w:rPr>
          <w:rFonts w:hint="default"/>
        </w:rPr>
        <w:fldChar w:fldCharType="separate"/>
      </w:r>
      <w:r>
        <w:rPr>
          <w:rFonts w:hint="default" w:eastAsia="宋体"/>
          <w:szCs w:val="32"/>
        </w:rPr>
        <w:t>1  总  则</w:t>
      </w:r>
      <w:r>
        <w:rPr>
          <w:rFonts w:hint="default"/>
        </w:rPr>
        <w:tab/>
      </w:r>
      <w:r>
        <w:rPr>
          <w:rFonts w:hint="default"/>
        </w:rPr>
        <w:fldChar w:fldCharType="begin"/>
      </w:r>
      <w:r>
        <w:rPr>
          <w:rFonts w:hint="default"/>
        </w:rPr>
        <w:instrText xml:space="preserve"> PAGEREF _Toc31226 </w:instrText>
      </w:r>
      <w:r>
        <w:rPr>
          <w:rFonts w:hint="default"/>
        </w:rPr>
        <w:fldChar w:fldCharType="separate"/>
      </w:r>
      <w:r>
        <w:rPr>
          <w:rFonts w:hint="default"/>
        </w:rPr>
        <w:t>1</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_Toc24160 </w:instrText>
      </w:r>
      <w:r>
        <w:rPr>
          <w:rFonts w:hint="default"/>
        </w:rPr>
        <w:fldChar w:fldCharType="separate"/>
      </w:r>
      <w:r>
        <w:rPr>
          <w:rFonts w:hint="default" w:eastAsia="宋体"/>
          <w:szCs w:val="32"/>
        </w:rPr>
        <w:t>2  术语和符号</w:t>
      </w:r>
      <w:r>
        <w:rPr>
          <w:rFonts w:hint="default"/>
        </w:rPr>
        <w:tab/>
      </w:r>
      <w:r>
        <w:rPr>
          <w:rFonts w:hint="default"/>
        </w:rPr>
        <w:fldChar w:fldCharType="begin"/>
      </w:r>
      <w:r>
        <w:rPr>
          <w:rFonts w:hint="default"/>
        </w:rPr>
        <w:instrText xml:space="preserve"> PAGEREF _Toc24160 </w:instrText>
      </w:r>
      <w:r>
        <w:rPr>
          <w:rFonts w:hint="default"/>
        </w:rPr>
        <w:fldChar w:fldCharType="separate"/>
      </w:r>
      <w:r>
        <w:rPr>
          <w:rFonts w:hint="default"/>
        </w:rPr>
        <w:t>2</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_Toc26846 </w:instrText>
      </w:r>
      <w:r>
        <w:rPr>
          <w:rFonts w:hint="default"/>
        </w:rPr>
        <w:fldChar w:fldCharType="separate"/>
      </w:r>
      <w:r>
        <w:rPr>
          <w:rFonts w:hint="default" w:ascii="Times New Roman" w:hAnsi="Times New Roman"/>
        </w:rPr>
        <w:t xml:space="preserve">2.1 </w:t>
      </w:r>
      <w:r>
        <w:rPr>
          <w:rFonts w:hint="default" w:ascii="Times New Roman" w:hAnsi="Times New Roman" w:eastAsia="宋体" w:cs="Times New Roman"/>
          <w:bCs/>
        </w:rPr>
        <w:t xml:space="preserve"> 术 语</w:t>
      </w:r>
      <w:r>
        <w:rPr>
          <w:rFonts w:hint="default"/>
        </w:rPr>
        <w:tab/>
      </w:r>
      <w:r>
        <w:rPr>
          <w:rFonts w:hint="default"/>
        </w:rPr>
        <w:fldChar w:fldCharType="begin"/>
      </w:r>
      <w:r>
        <w:rPr>
          <w:rFonts w:hint="default"/>
        </w:rPr>
        <w:instrText xml:space="preserve"> PAGEREF _Toc26846 </w:instrText>
      </w:r>
      <w:r>
        <w:rPr>
          <w:rFonts w:hint="default"/>
        </w:rPr>
        <w:fldChar w:fldCharType="separate"/>
      </w:r>
      <w:r>
        <w:rPr>
          <w:rFonts w:hint="default"/>
        </w:rPr>
        <w:t>2</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_Toc25859 </w:instrText>
      </w:r>
      <w:r>
        <w:rPr>
          <w:rFonts w:hint="default"/>
        </w:rPr>
        <w:fldChar w:fldCharType="separate"/>
      </w:r>
      <w:r>
        <w:rPr>
          <w:rFonts w:hint="default" w:ascii="Times New Roman" w:hAnsi="Times New Roman"/>
        </w:rPr>
        <w:t xml:space="preserve">2.2 </w:t>
      </w:r>
      <w:r>
        <w:rPr>
          <w:rFonts w:hint="default"/>
        </w:rPr>
        <w:t xml:space="preserve"> </w:t>
      </w:r>
      <w:r>
        <w:rPr>
          <w:rFonts w:hint="default" w:ascii="Times New Roman" w:hAnsi="Times New Roman" w:eastAsia="宋体" w:cs="Times New Roman"/>
          <w:bCs/>
        </w:rPr>
        <w:t>符 号</w:t>
      </w:r>
      <w:r>
        <w:rPr>
          <w:rFonts w:hint="default"/>
        </w:rPr>
        <w:tab/>
      </w:r>
      <w:r>
        <w:rPr>
          <w:rFonts w:hint="default"/>
        </w:rPr>
        <w:fldChar w:fldCharType="begin"/>
      </w:r>
      <w:r>
        <w:rPr>
          <w:rFonts w:hint="default"/>
        </w:rPr>
        <w:instrText xml:space="preserve"> PAGEREF _Toc25859 </w:instrText>
      </w:r>
      <w:r>
        <w:rPr>
          <w:rFonts w:hint="default"/>
        </w:rPr>
        <w:fldChar w:fldCharType="separate"/>
      </w:r>
      <w:r>
        <w:rPr>
          <w:rFonts w:hint="default"/>
        </w:rPr>
        <w:t>3</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_Toc5548 </w:instrText>
      </w:r>
      <w:r>
        <w:rPr>
          <w:rFonts w:hint="default"/>
        </w:rPr>
        <w:fldChar w:fldCharType="separate"/>
      </w:r>
      <w:r>
        <w:rPr>
          <w:rFonts w:hint="default" w:eastAsia="宋体"/>
          <w:szCs w:val="32"/>
        </w:rPr>
        <w:t>3  基本规定</w:t>
      </w:r>
      <w:r>
        <w:rPr>
          <w:rFonts w:hint="default"/>
        </w:rPr>
        <w:tab/>
      </w:r>
      <w:r>
        <w:rPr>
          <w:rFonts w:hint="default"/>
        </w:rPr>
        <w:fldChar w:fldCharType="begin"/>
      </w:r>
      <w:r>
        <w:rPr>
          <w:rFonts w:hint="default"/>
        </w:rPr>
        <w:instrText xml:space="preserve"> PAGEREF _Toc5548 </w:instrText>
      </w:r>
      <w:r>
        <w:rPr>
          <w:rFonts w:hint="default"/>
        </w:rPr>
        <w:fldChar w:fldCharType="separate"/>
      </w:r>
      <w:r>
        <w:rPr>
          <w:rFonts w:hint="default"/>
        </w:rPr>
        <w:t>5</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_Toc27799 </w:instrText>
      </w:r>
      <w:r>
        <w:rPr>
          <w:rFonts w:hint="default"/>
        </w:rPr>
        <w:fldChar w:fldCharType="separate"/>
      </w:r>
      <w:r>
        <w:rPr>
          <w:rFonts w:hint="default" w:eastAsia="宋体"/>
          <w:szCs w:val="32"/>
        </w:rPr>
        <w:t>4  工程勘察</w:t>
      </w:r>
      <w:r>
        <w:rPr>
          <w:rFonts w:hint="default"/>
        </w:rPr>
        <w:tab/>
      </w:r>
      <w:r>
        <w:rPr>
          <w:rFonts w:hint="default"/>
        </w:rPr>
        <w:fldChar w:fldCharType="begin"/>
      </w:r>
      <w:r>
        <w:rPr>
          <w:rFonts w:hint="default"/>
        </w:rPr>
        <w:instrText xml:space="preserve"> PAGEREF _Toc27799 </w:instrText>
      </w:r>
      <w:r>
        <w:rPr>
          <w:rFonts w:hint="default"/>
        </w:rPr>
        <w:fldChar w:fldCharType="separate"/>
      </w:r>
      <w:r>
        <w:rPr>
          <w:rFonts w:hint="default"/>
        </w:rPr>
        <w:t>7</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_Toc25745 </w:instrText>
      </w:r>
      <w:r>
        <w:rPr>
          <w:rFonts w:hint="default"/>
        </w:rPr>
        <w:fldChar w:fldCharType="separate"/>
      </w:r>
      <w:r>
        <w:rPr>
          <w:rFonts w:hint="default" w:ascii="Times New Roman" w:hAnsi="Times New Roman"/>
        </w:rPr>
        <w:t xml:space="preserve">4.1 </w:t>
      </w:r>
      <w:r>
        <w:rPr>
          <w:rFonts w:hint="default"/>
        </w:rPr>
        <w:t xml:space="preserve"> </w:t>
      </w:r>
      <w:r>
        <w:rPr>
          <w:rFonts w:hint="default" w:ascii="Times New Roman" w:hAnsi="Times New Roman" w:eastAsia="宋体" w:cs="Times New Roman"/>
          <w:bCs/>
        </w:rPr>
        <w:t>一般规定</w:t>
      </w:r>
      <w:r>
        <w:rPr>
          <w:rFonts w:hint="default"/>
        </w:rPr>
        <w:tab/>
      </w:r>
      <w:r>
        <w:rPr>
          <w:rFonts w:hint="default"/>
        </w:rPr>
        <w:fldChar w:fldCharType="begin"/>
      </w:r>
      <w:r>
        <w:rPr>
          <w:rFonts w:hint="default"/>
        </w:rPr>
        <w:instrText xml:space="preserve"> PAGEREF _Toc25745 </w:instrText>
      </w:r>
      <w:r>
        <w:rPr>
          <w:rFonts w:hint="default"/>
        </w:rPr>
        <w:fldChar w:fldCharType="separate"/>
      </w:r>
      <w:r>
        <w:rPr>
          <w:rFonts w:hint="default"/>
        </w:rPr>
        <w:t>7</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_Toc8226 </w:instrText>
      </w:r>
      <w:r>
        <w:rPr>
          <w:rFonts w:hint="default"/>
        </w:rPr>
        <w:fldChar w:fldCharType="separate"/>
      </w:r>
      <w:r>
        <w:rPr>
          <w:rFonts w:hint="default" w:ascii="Times New Roman" w:hAnsi="Times New Roman"/>
        </w:rPr>
        <w:t xml:space="preserve">4.2  </w:t>
      </w:r>
      <w:r>
        <w:rPr>
          <w:rFonts w:hint="default" w:ascii="Times New Roman" w:hAnsi="Times New Roman" w:eastAsia="宋体" w:cs="Times New Roman"/>
          <w:bCs/>
        </w:rPr>
        <w:t>补充勘察</w:t>
      </w:r>
      <w:r>
        <w:rPr>
          <w:rFonts w:hint="default"/>
        </w:rPr>
        <w:tab/>
      </w:r>
      <w:r>
        <w:rPr>
          <w:rFonts w:hint="default"/>
        </w:rPr>
        <w:fldChar w:fldCharType="begin"/>
      </w:r>
      <w:r>
        <w:rPr>
          <w:rFonts w:hint="default"/>
        </w:rPr>
        <w:instrText xml:space="preserve"> PAGEREF _Toc8226 </w:instrText>
      </w:r>
      <w:r>
        <w:rPr>
          <w:rFonts w:hint="default"/>
        </w:rPr>
        <w:fldChar w:fldCharType="separate"/>
      </w:r>
      <w:r>
        <w:rPr>
          <w:rFonts w:hint="default"/>
        </w:rPr>
        <w:t>8</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_Toc30177 </w:instrText>
      </w:r>
      <w:r>
        <w:rPr>
          <w:rFonts w:hint="default"/>
        </w:rPr>
        <w:fldChar w:fldCharType="separate"/>
      </w:r>
      <w:r>
        <w:rPr>
          <w:rFonts w:hint="default" w:ascii="Times New Roman" w:hAnsi="Times New Roman"/>
        </w:rPr>
        <w:t xml:space="preserve">4.3  </w:t>
      </w:r>
      <w:r>
        <w:rPr>
          <w:rFonts w:hint="default" w:ascii="Times New Roman" w:hAnsi="Times New Roman" w:eastAsia="宋体" w:cs="Times New Roman"/>
          <w:bCs/>
        </w:rPr>
        <w:t>既有桩基调查</w:t>
      </w:r>
      <w:r>
        <w:rPr>
          <w:rFonts w:hint="default"/>
        </w:rPr>
        <w:tab/>
      </w:r>
      <w:r>
        <w:rPr>
          <w:rFonts w:hint="default"/>
        </w:rPr>
        <w:fldChar w:fldCharType="begin"/>
      </w:r>
      <w:r>
        <w:rPr>
          <w:rFonts w:hint="default"/>
        </w:rPr>
        <w:instrText xml:space="preserve"> PAGEREF _Toc30177 </w:instrText>
      </w:r>
      <w:r>
        <w:rPr>
          <w:rFonts w:hint="default"/>
        </w:rPr>
        <w:fldChar w:fldCharType="separate"/>
      </w:r>
      <w:r>
        <w:rPr>
          <w:rFonts w:hint="default"/>
        </w:rPr>
        <w:t>9</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_Toc17028 </w:instrText>
      </w:r>
      <w:r>
        <w:rPr>
          <w:rFonts w:hint="default"/>
        </w:rPr>
        <w:fldChar w:fldCharType="separate"/>
      </w:r>
      <w:r>
        <w:rPr>
          <w:rFonts w:hint="default" w:eastAsia="宋体"/>
          <w:szCs w:val="32"/>
        </w:rPr>
        <w:t>5  方案制定</w:t>
      </w:r>
      <w:r>
        <w:rPr>
          <w:rFonts w:hint="default"/>
        </w:rPr>
        <w:tab/>
      </w:r>
      <w:r>
        <w:rPr>
          <w:rFonts w:hint="default"/>
        </w:rPr>
        <w:fldChar w:fldCharType="begin"/>
      </w:r>
      <w:r>
        <w:rPr>
          <w:rFonts w:hint="default"/>
        </w:rPr>
        <w:instrText xml:space="preserve"> PAGEREF _Toc17028 </w:instrText>
      </w:r>
      <w:r>
        <w:rPr>
          <w:rFonts w:hint="default"/>
        </w:rPr>
        <w:fldChar w:fldCharType="separate"/>
      </w:r>
      <w:r>
        <w:rPr>
          <w:rFonts w:hint="default"/>
        </w:rPr>
        <w:t>11</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_Toc32107 </w:instrText>
      </w:r>
      <w:r>
        <w:rPr>
          <w:rFonts w:hint="default"/>
        </w:rPr>
        <w:fldChar w:fldCharType="separate"/>
      </w:r>
      <w:r>
        <w:rPr>
          <w:rFonts w:hint="default" w:ascii="Times New Roman" w:hAnsi="Times New Roman"/>
        </w:rPr>
        <w:t xml:space="preserve">5.1  </w:t>
      </w:r>
      <w:r>
        <w:rPr>
          <w:rFonts w:hint="default" w:ascii="Times New Roman" w:hAnsi="Times New Roman" w:eastAsia="宋体" w:cs="Times New Roman"/>
          <w:bCs/>
        </w:rPr>
        <w:t>方案选择</w:t>
      </w:r>
      <w:r>
        <w:rPr>
          <w:rFonts w:hint="default"/>
        </w:rPr>
        <w:tab/>
      </w:r>
      <w:r>
        <w:rPr>
          <w:rFonts w:hint="default"/>
        </w:rPr>
        <w:fldChar w:fldCharType="begin"/>
      </w:r>
      <w:r>
        <w:rPr>
          <w:rFonts w:hint="default"/>
        </w:rPr>
        <w:instrText xml:space="preserve"> PAGEREF _Toc32107 </w:instrText>
      </w:r>
      <w:r>
        <w:rPr>
          <w:rFonts w:hint="default"/>
        </w:rPr>
        <w:fldChar w:fldCharType="separate"/>
      </w:r>
      <w:r>
        <w:rPr>
          <w:rFonts w:hint="default"/>
        </w:rPr>
        <w:t>11</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_Toc2805 </w:instrText>
      </w:r>
      <w:r>
        <w:rPr>
          <w:rFonts w:hint="default"/>
        </w:rPr>
        <w:fldChar w:fldCharType="separate"/>
      </w:r>
      <w:r>
        <w:rPr>
          <w:rFonts w:hint="default" w:ascii="Times New Roman" w:hAnsi="Times New Roman"/>
        </w:rPr>
        <w:t xml:space="preserve">5.2 </w:t>
      </w:r>
      <w:r>
        <w:rPr>
          <w:rFonts w:hint="default"/>
        </w:rPr>
        <w:t xml:space="preserve"> </w:t>
      </w:r>
      <w:r>
        <w:rPr>
          <w:rFonts w:hint="default" w:ascii="Times New Roman" w:hAnsi="Times New Roman" w:eastAsia="宋体" w:cs="Times New Roman"/>
          <w:bCs/>
        </w:rPr>
        <w:t>清除范围</w:t>
      </w:r>
      <w:r>
        <w:rPr>
          <w:rFonts w:hint="default"/>
        </w:rPr>
        <w:tab/>
      </w:r>
      <w:r>
        <w:rPr>
          <w:rFonts w:hint="default"/>
        </w:rPr>
        <w:fldChar w:fldCharType="begin"/>
      </w:r>
      <w:r>
        <w:rPr>
          <w:rFonts w:hint="default"/>
        </w:rPr>
        <w:instrText xml:space="preserve"> PAGEREF _Toc2805 </w:instrText>
      </w:r>
      <w:r>
        <w:rPr>
          <w:rFonts w:hint="default"/>
        </w:rPr>
        <w:fldChar w:fldCharType="separate"/>
      </w:r>
      <w:r>
        <w:rPr>
          <w:rFonts w:hint="default"/>
        </w:rPr>
        <w:t>13</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_Toc1417 </w:instrText>
      </w:r>
      <w:r>
        <w:rPr>
          <w:rFonts w:hint="default"/>
        </w:rPr>
        <w:fldChar w:fldCharType="separate"/>
      </w:r>
      <w:r>
        <w:rPr>
          <w:rFonts w:hint="default" w:ascii="Times New Roman" w:hAnsi="Times New Roman"/>
        </w:rPr>
        <w:t xml:space="preserve">5.3  </w:t>
      </w:r>
      <w:r>
        <w:rPr>
          <w:rFonts w:hint="default" w:ascii="Times New Roman" w:hAnsi="Times New Roman" w:eastAsia="宋体" w:cs="Times New Roman"/>
          <w:bCs/>
        </w:rPr>
        <w:t>分析计算</w:t>
      </w:r>
      <w:r>
        <w:rPr>
          <w:rFonts w:hint="default"/>
        </w:rPr>
        <w:tab/>
      </w:r>
      <w:r>
        <w:rPr>
          <w:rFonts w:hint="default"/>
        </w:rPr>
        <w:fldChar w:fldCharType="begin"/>
      </w:r>
      <w:r>
        <w:rPr>
          <w:rFonts w:hint="default"/>
        </w:rPr>
        <w:instrText xml:space="preserve"> PAGEREF _Toc1417 </w:instrText>
      </w:r>
      <w:r>
        <w:rPr>
          <w:rFonts w:hint="default"/>
        </w:rPr>
        <w:fldChar w:fldCharType="separate"/>
      </w:r>
      <w:r>
        <w:rPr>
          <w:rFonts w:hint="default"/>
        </w:rPr>
        <w:t>13</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_Toc21091 </w:instrText>
      </w:r>
      <w:r>
        <w:rPr>
          <w:rFonts w:hint="default"/>
        </w:rPr>
        <w:fldChar w:fldCharType="separate"/>
      </w:r>
      <w:r>
        <w:rPr>
          <w:rFonts w:hint="default" w:eastAsia="宋体"/>
          <w:kern w:val="44"/>
          <w:szCs w:val="32"/>
        </w:rPr>
        <w:t>6 施工</w:t>
      </w:r>
      <w:r>
        <w:rPr>
          <w:rFonts w:hint="default"/>
        </w:rPr>
        <w:tab/>
      </w:r>
      <w:r>
        <w:rPr>
          <w:rFonts w:hint="default"/>
        </w:rPr>
        <w:fldChar w:fldCharType="begin"/>
      </w:r>
      <w:r>
        <w:rPr>
          <w:rFonts w:hint="default"/>
        </w:rPr>
        <w:instrText xml:space="preserve"> PAGEREF _Toc21091 </w:instrText>
      </w:r>
      <w:r>
        <w:rPr>
          <w:rFonts w:hint="default"/>
        </w:rPr>
        <w:fldChar w:fldCharType="separate"/>
      </w:r>
      <w:r>
        <w:rPr>
          <w:rFonts w:hint="default"/>
        </w:rPr>
        <w:t>17</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_Toc903 </w:instrText>
      </w:r>
      <w:r>
        <w:rPr>
          <w:rFonts w:hint="default"/>
        </w:rPr>
        <w:fldChar w:fldCharType="separate"/>
      </w:r>
      <w:r>
        <w:rPr>
          <w:rFonts w:hint="default" w:ascii="Times New Roman" w:hAnsi="Times New Roman"/>
        </w:rPr>
        <w:t xml:space="preserve">6.1  </w:t>
      </w:r>
      <w:r>
        <w:rPr>
          <w:rFonts w:hint="default" w:ascii="Times New Roman" w:hAnsi="Times New Roman" w:eastAsia="宋体" w:cs="Times New Roman"/>
          <w:bCs/>
        </w:rPr>
        <w:t>一般规定</w:t>
      </w:r>
      <w:r>
        <w:rPr>
          <w:rFonts w:hint="default"/>
        </w:rPr>
        <w:tab/>
      </w:r>
      <w:r>
        <w:rPr>
          <w:rFonts w:hint="default"/>
        </w:rPr>
        <w:fldChar w:fldCharType="begin"/>
      </w:r>
      <w:r>
        <w:rPr>
          <w:rFonts w:hint="default"/>
        </w:rPr>
        <w:instrText xml:space="preserve"> PAGEREF _Toc903 </w:instrText>
      </w:r>
      <w:r>
        <w:rPr>
          <w:rFonts w:hint="default"/>
        </w:rPr>
        <w:fldChar w:fldCharType="separate"/>
      </w:r>
      <w:r>
        <w:rPr>
          <w:rFonts w:hint="default"/>
        </w:rPr>
        <w:t>17</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_Toc180 </w:instrText>
      </w:r>
      <w:r>
        <w:rPr>
          <w:rFonts w:hint="default"/>
        </w:rPr>
        <w:fldChar w:fldCharType="separate"/>
      </w:r>
      <w:r>
        <w:rPr>
          <w:rFonts w:hint="default" w:ascii="Times New Roman" w:hAnsi="Times New Roman"/>
        </w:rPr>
        <w:t xml:space="preserve">6.2  </w:t>
      </w:r>
      <w:r>
        <w:rPr>
          <w:rFonts w:hint="default" w:ascii="Times New Roman" w:hAnsi="Times New Roman" w:eastAsia="宋体" w:cs="Times New Roman"/>
          <w:bCs/>
        </w:rPr>
        <w:t>拔除法</w:t>
      </w:r>
      <w:r>
        <w:rPr>
          <w:rFonts w:hint="default"/>
        </w:rPr>
        <w:tab/>
      </w:r>
      <w:r>
        <w:rPr>
          <w:rFonts w:hint="default"/>
        </w:rPr>
        <w:fldChar w:fldCharType="begin"/>
      </w:r>
      <w:r>
        <w:rPr>
          <w:rFonts w:hint="default"/>
        </w:rPr>
        <w:instrText xml:space="preserve"> PAGEREF _Toc180 </w:instrText>
      </w:r>
      <w:r>
        <w:rPr>
          <w:rFonts w:hint="default"/>
        </w:rPr>
        <w:fldChar w:fldCharType="separate"/>
      </w:r>
      <w:r>
        <w:rPr>
          <w:rFonts w:hint="default"/>
        </w:rPr>
        <w:t>18</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_Toc4175 </w:instrText>
      </w:r>
      <w:r>
        <w:rPr>
          <w:rFonts w:hint="default"/>
        </w:rPr>
        <w:fldChar w:fldCharType="separate"/>
      </w:r>
      <w:r>
        <w:rPr>
          <w:rFonts w:hint="default" w:ascii="Times New Roman" w:hAnsi="Times New Roman"/>
        </w:rPr>
        <w:t xml:space="preserve">6.3  </w:t>
      </w:r>
      <w:r>
        <w:rPr>
          <w:rFonts w:hint="default" w:ascii="Times New Roman" w:hAnsi="Times New Roman" w:eastAsia="宋体" w:cs="Times New Roman"/>
          <w:bCs/>
        </w:rPr>
        <w:t>破碎法</w:t>
      </w:r>
      <w:r>
        <w:rPr>
          <w:rFonts w:hint="default"/>
        </w:rPr>
        <w:tab/>
      </w:r>
      <w:r>
        <w:rPr>
          <w:rFonts w:hint="default"/>
        </w:rPr>
        <w:fldChar w:fldCharType="begin"/>
      </w:r>
      <w:r>
        <w:rPr>
          <w:rFonts w:hint="default"/>
        </w:rPr>
        <w:instrText xml:space="preserve"> PAGEREF _Toc4175 </w:instrText>
      </w:r>
      <w:r>
        <w:rPr>
          <w:rFonts w:hint="default"/>
        </w:rPr>
        <w:fldChar w:fldCharType="separate"/>
      </w:r>
      <w:r>
        <w:rPr>
          <w:rFonts w:hint="default"/>
        </w:rPr>
        <w:t>21</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_Toc24900 </w:instrText>
      </w:r>
      <w:r>
        <w:rPr>
          <w:rFonts w:hint="default"/>
        </w:rPr>
        <w:fldChar w:fldCharType="separate"/>
      </w:r>
      <w:r>
        <w:rPr>
          <w:rFonts w:hint="default" w:ascii="Times New Roman" w:hAnsi="Times New Roman"/>
        </w:rPr>
        <w:t xml:space="preserve">6.4  </w:t>
      </w:r>
      <w:r>
        <w:rPr>
          <w:rFonts w:hint="default" w:ascii="Times New Roman" w:hAnsi="Times New Roman" w:eastAsia="宋体" w:cs="Times New Roman"/>
          <w:bCs/>
        </w:rPr>
        <w:t>水上施工</w:t>
      </w:r>
      <w:r>
        <w:rPr>
          <w:rFonts w:hint="default"/>
        </w:rPr>
        <w:tab/>
      </w:r>
      <w:r>
        <w:rPr>
          <w:rFonts w:hint="default"/>
        </w:rPr>
        <w:fldChar w:fldCharType="begin"/>
      </w:r>
      <w:r>
        <w:rPr>
          <w:rFonts w:hint="default"/>
        </w:rPr>
        <w:instrText xml:space="preserve"> PAGEREF _Toc24900 </w:instrText>
      </w:r>
      <w:r>
        <w:rPr>
          <w:rFonts w:hint="default"/>
        </w:rPr>
        <w:fldChar w:fldCharType="separate"/>
      </w:r>
      <w:r>
        <w:rPr>
          <w:rFonts w:hint="default"/>
        </w:rPr>
        <w:t>23</w:t>
      </w:r>
      <w:r>
        <w:rPr>
          <w:rFonts w:hint="default"/>
        </w:rPr>
        <w:fldChar w:fldCharType="end"/>
      </w:r>
      <w:r>
        <w:rPr>
          <w:rFonts w:hint="default"/>
          <w:color w:val="323232" w:themeColor="text1"/>
          <w14:textFill>
            <w14:solidFill>
              <w14:schemeClr w14:val="tx1"/>
            </w14:solidFill>
          </w14:textFill>
        </w:rPr>
        <w:fldChar w:fldCharType="end"/>
      </w:r>
    </w:p>
    <w:p>
      <w:pPr>
        <w:pStyle w:val="12"/>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_Toc28551 </w:instrText>
      </w:r>
      <w:r>
        <w:rPr>
          <w:rFonts w:hint="default"/>
        </w:rPr>
        <w:fldChar w:fldCharType="separate"/>
      </w:r>
      <w:r>
        <w:rPr>
          <w:rFonts w:hint="default" w:ascii="Times New Roman" w:hAnsi="Times New Roman"/>
        </w:rPr>
        <w:t xml:space="preserve">6.5  </w:t>
      </w:r>
      <w:r>
        <w:rPr>
          <w:rFonts w:hint="default" w:ascii="Times New Roman" w:hAnsi="Times New Roman" w:eastAsia="宋体" w:cs="Times New Roman"/>
          <w:bCs/>
        </w:rPr>
        <w:t>桩孔处理</w:t>
      </w:r>
      <w:r>
        <w:rPr>
          <w:rFonts w:hint="default"/>
        </w:rPr>
        <w:tab/>
      </w:r>
      <w:r>
        <w:rPr>
          <w:rFonts w:hint="default"/>
        </w:rPr>
        <w:fldChar w:fldCharType="begin"/>
      </w:r>
      <w:r>
        <w:rPr>
          <w:rFonts w:hint="default"/>
        </w:rPr>
        <w:instrText xml:space="preserve"> PAGEREF _Toc28551 </w:instrText>
      </w:r>
      <w:r>
        <w:rPr>
          <w:rFonts w:hint="default"/>
        </w:rPr>
        <w:fldChar w:fldCharType="separate"/>
      </w:r>
      <w:r>
        <w:rPr>
          <w:rFonts w:hint="default"/>
        </w:rPr>
        <w:t>23</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_Toc12 </w:instrText>
      </w:r>
      <w:r>
        <w:rPr>
          <w:rFonts w:hint="default"/>
        </w:rPr>
        <w:fldChar w:fldCharType="separate"/>
      </w:r>
      <w:r>
        <w:rPr>
          <w:rFonts w:hint="default" w:eastAsia="宋体"/>
          <w:kern w:val="44"/>
          <w:szCs w:val="32"/>
        </w:rPr>
        <w:t>7 检验与验收</w:t>
      </w:r>
      <w:r>
        <w:rPr>
          <w:rFonts w:hint="default"/>
        </w:rPr>
        <w:tab/>
      </w:r>
      <w:r>
        <w:rPr>
          <w:rFonts w:hint="default"/>
        </w:rPr>
        <w:fldChar w:fldCharType="begin"/>
      </w:r>
      <w:r>
        <w:rPr>
          <w:rFonts w:hint="default"/>
        </w:rPr>
        <w:instrText xml:space="preserve"> PAGEREF _Toc12 </w:instrText>
      </w:r>
      <w:r>
        <w:rPr>
          <w:rFonts w:hint="default"/>
        </w:rPr>
        <w:fldChar w:fldCharType="separate"/>
      </w:r>
      <w:r>
        <w:rPr>
          <w:rFonts w:hint="default"/>
        </w:rPr>
        <w:t>25</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_Toc8317 </w:instrText>
      </w:r>
      <w:r>
        <w:rPr>
          <w:rFonts w:hint="default"/>
        </w:rPr>
        <w:fldChar w:fldCharType="separate"/>
      </w:r>
      <w:r>
        <w:rPr>
          <w:rFonts w:hint="default"/>
        </w:rPr>
        <w:t>附录A 桩基清除施工记录表</w:t>
      </w:r>
      <w:r>
        <w:rPr>
          <w:rFonts w:hint="default"/>
        </w:rPr>
        <w:tab/>
      </w:r>
      <w:r>
        <w:rPr>
          <w:rFonts w:hint="default"/>
        </w:rPr>
        <w:fldChar w:fldCharType="begin"/>
      </w:r>
      <w:r>
        <w:rPr>
          <w:rFonts w:hint="default"/>
        </w:rPr>
        <w:instrText xml:space="preserve"> PAGEREF _Toc8317 </w:instrText>
      </w:r>
      <w:r>
        <w:rPr>
          <w:rFonts w:hint="default"/>
        </w:rPr>
        <w:fldChar w:fldCharType="separate"/>
      </w:r>
      <w:r>
        <w:rPr>
          <w:rFonts w:hint="default"/>
        </w:rPr>
        <w:t>27</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_Toc32094 </w:instrText>
      </w:r>
      <w:r>
        <w:rPr>
          <w:rFonts w:hint="default"/>
        </w:rPr>
        <w:fldChar w:fldCharType="separate"/>
      </w:r>
      <w:r>
        <w:rPr>
          <w:rFonts w:hint="default"/>
        </w:rPr>
        <w:t>本标准用词说明</w:t>
      </w:r>
      <w:r>
        <w:rPr>
          <w:rFonts w:hint="default"/>
        </w:rPr>
        <w:tab/>
      </w:r>
      <w:r>
        <w:rPr>
          <w:rFonts w:hint="default"/>
        </w:rPr>
        <w:fldChar w:fldCharType="begin"/>
      </w:r>
      <w:r>
        <w:rPr>
          <w:rFonts w:hint="default"/>
        </w:rPr>
        <w:instrText xml:space="preserve"> PAGEREF _Toc32094 </w:instrText>
      </w:r>
      <w:r>
        <w:rPr>
          <w:rFonts w:hint="default"/>
        </w:rPr>
        <w:fldChar w:fldCharType="separate"/>
      </w:r>
      <w:r>
        <w:rPr>
          <w:rFonts w:hint="default"/>
        </w:rPr>
        <w:t>30</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_Toc20372 </w:instrText>
      </w:r>
      <w:r>
        <w:rPr>
          <w:rFonts w:hint="default"/>
        </w:rPr>
        <w:fldChar w:fldCharType="separate"/>
      </w:r>
      <w:r>
        <w:rPr>
          <w:rFonts w:hint="default"/>
        </w:rPr>
        <w:t>引用标准名录</w:t>
      </w:r>
      <w:r>
        <w:rPr>
          <w:rFonts w:hint="default"/>
        </w:rPr>
        <w:tab/>
      </w:r>
      <w:r>
        <w:rPr>
          <w:rFonts w:hint="default"/>
        </w:rPr>
        <w:fldChar w:fldCharType="begin"/>
      </w:r>
      <w:r>
        <w:rPr>
          <w:rFonts w:hint="default"/>
        </w:rPr>
        <w:instrText xml:space="preserve"> PAGEREF _Toc20372 </w:instrText>
      </w:r>
      <w:r>
        <w:rPr>
          <w:rFonts w:hint="default"/>
        </w:rPr>
        <w:fldChar w:fldCharType="separate"/>
      </w:r>
      <w:r>
        <w:rPr>
          <w:rFonts w:hint="default"/>
        </w:rPr>
        <w:t>31</w:t>
      </w:r>
      <w:r>
        <w:rPr>
          <w:rFonts w:hint="default"/>
        </w:rPr>
        <w:fldChar w:fldCharType="end"/>
      </w:r>
      <w:r>
        <w:rPr>
          <w:rFonts w:hint="default"/>
          <w:color w:val="323232" w:themeColor="text1"/>
          <w14:textFill>
            <w14:solidFill>
              <w14:schemeClr w14:val="tx1"/>
            </w14:solidFill>
          </w14:textFill>
        </w:rPr>
        <w:fldChar w:fldCharType="end"/>
      </w:r>
    </w:p>
    <w:p>
      <w:pPr>
        <w:pStyle w:val="7"/>
        <w:tabs>
          <w:tab w:val="right" w:leader="dot" w:pos="5669"/>
        </w:tabs>
        <w:ind w:left="0" w:leftChars="0"/>
        <w:rPr>
          <w:rFonts w:hint="default"/>
        </w:rPr>
      </w:pPr>
      <w:r>
        <w:rPr>
          <w:rFonts w:hint="default"/>
          <w:color w:val="323232" w:themeColor="text1"/>
          <w14:textFill>
            <w14:solidFill>
              <w14:schemeClr w14:val="tx1"/>
            </w14:solidFill>
          </w14:textFill>
        </w:rPr>
        <w:fldChar w:fldCharType="begin"/>
      </w:r>
      <w:r>
        <w:rPr>
          <w:rFonts w:hint="default"/>
        </w:rPr>
        <w:instrText xml:space="preserve"> HYPERLINK \l _Toc2435 </w:instrText>
      </w:r>
      <w:r>
        <w:rPr>
          <w:rFonts w:hint="default"/>
        </w:rPr>
        <w:fldChar w:fldCharType="separate"/>
      </w:r>
      <w:r>
        <w:rPr>
          <w:rFonts w:hint="default"/>
          <w:szCs w:val="32"/>
        </w:rPr>
        <w:t>条文说明</w:t>
      </w:r>
      <w:r>
        <w:rPr>
          <w:rFonts w:hint="default"/>
        </w:rPr>
        <w:tab/>
      </w:r>
      <w:r>
        <w:rPr>
          <w:rFonts w:hint="default"/>
        </w:rPr>
        <w:fldChar w:fldCharType="begin"/>
      </w:r>
      <w:r>
        <w:rPr>
          <w:rFonts w:hint="default"/>
        </w:rPr>
        <w:instrText xml:space="preserve"> PAGEREF _Toc2435 </w:instrText>
      </w:r>
      <w:r>
        <w:rPr>
          <w:rFonts w:hint="default"/>
        </w:rPr>
        <w:fldChar w:fldCharType="separate"/>
      </w:r>
      <w:r>
        <w:rPr>
          <w:rFonts w:hint="default"/>
        </w:rPr>
        <w:t>32</w:t>
      </w:r>
      <w:r>
        <w:rPr>
          <w:rFonts w:hint="default"/>
        </w:rPr>
        <w:fldChar w:fldCharType="end"/>
      </w:r>
      <w:r>
        <w:rPr>
          <w:rFonts w:hint="default"/>
          <w:color w:val="323232" w:themeColor="text1"/>
          <w14:textFill>
            <w14:solidFill>
              <w14:schemeClr w14:val="tx1"/>
            </w14:solidFill>
          </w14:textFill>
        </w:rPr>
        <w:fldChar w:fldCharType="end"/>
      </w:r>
    </w:p>
    <w:p>
      <w:pPr>
        <w:pStyle w:val="11"/>
        <w:tabs>
          <w:tab w:val="right" w:leader="dot" w:pos="5669"/>
        </w:tabs>
      </w:pPr>
    </w:p>
    <w:p>
      <w:pPr>
        <w:keepNext w:val="0"/>
        <w:keepLines w:val="0"/>
        <w:pageBreakBefore/>
        <w:widowControl/>
        <w:tabs>
          <w:tab w:val="left" w:pos="2100"/>
        </w:tabs>
        <w:kinsoku/>
        <w:wordWrap/>
        <w:overflowPunct/>
        <w:topLinePunct w:val="0"/>
        <w:autoSpaceDE w:val="0"/>
        <w:autoSpaceDN w:val="0"/>
        <w:bidi w:val="0"/>
        <w:adjustRightInd w:val="0"/>
        <w:snapToGrid/>
        <w:spacing w:beforeLines="0" w:after="157" w:afterLines="50" w:line="240" w:lineRule="auto"/>
        <w:ind w:left="0" w:leftChars="0" w:right="0" w:rightChars="0" w:firstLine="0" w:firstLineChars="0"/>
        <w:jc w:val="center"/>
        <w:textAlignment w:val="auto"/>
        <w:outlineLvl w:val="9"/>
        <w:rPr>
          <w:rFonts w:hint="eastAsia" w:eastAsia="黑体"/>
          <w:b/>
          <w:sz w:val="21"/>
          <w:szCs w:val="21"/>
        </w:rPr>
      </w:pPr>
      <w:r>
        <w:rPr>
          <w:rFonts w:hint="eastAsia" w:eastAsia="黑体"/>
          <w:b/>
          <w:sz w:val="21"/>
          <w:szCs w:val="21"/>
        </w:rPr>
        <w:t>Contents</w:t>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eastAsia"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TOC \o "1-2" \h \z \u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_Toc25413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rPr>
        <w:t>1</w:t>
      </w:r>
      <w:r>
        <w:rPr>
          <w:rFonts w:hint="default" w:ascii="Times New Roman" w:hAnsi="Times New Roman" w:cs="Times New Roman"/>
          <w:sz w:val="21"/>
          <w:szCs w:val="21"/>
        </w:rPr>
        <w:t xml:space="preserve">  </w:t>
      </w:r>
      <w:r>
        <w:rPr>
          <w:rStyle w:val="20"/>
          <w:color w:val="auto"/>
          <w:sz w:val="21"/>
          <w:szCs w:val="21"/>
          <w:u w:val="none"/>
        </w:rPr>
        <w:t>General Provisions</w:t>
      </w:r>
      <w:r>
        <w:rPr>
          <w:rStyle w:val="20"/>
          <w:rFonts w:hint="eastAsia"/>
          <w:color w:val="auto"/>
          <w:sz w:val="21"/>
          <w:szCs w:val="21"/>
          <w:u w:val="none"/>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......1</w:t>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_Toc19790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eastAsia="zh-CN"/>
        </w:rPr>
        <w:t>2</w:t>
      </w:r>
      <w:r>
        <w:rPr>
          <w:rFonts w:hint="default" w:ascii="Times New Roman" w:hAnsi="Times New Roman" w:cs="Times New Roman"/>
          <w:sz w:val="21"/>
          <w:szCs w:val="21"/>
          <w:lang w:eastAsia="zh-CN"/>
        </w:rPr>
        <w:t xml:space="preserve">  </w:t>
      </w:r>
      <w:r>
        <w:rPr>
          <w:rStyle w:val="20"/>
          <w:color w:val="auto"/>
          <w:sz w:val="21"/>
          <w:szCs w:val="21"/>
          <w:u w:val="none"/>
        </w:rPr>
        <w:t>Terms</w:t>
      </w:r>
      <w:r>
        <w:rPr>
          <w:rStyle w:val="20"/>
          <w:rFonts w:hint="eastAsia"/>
          <w:color w:val="auto"/>
          <w:sz w:val="21"/>
          <w:szCs w:val="21"/>
          <w:u w:val="none"/>
          <w:lang w:val="en-US" w:eastAsia="zh-CN"/>
        </w:rPr>
        <w:t xml:space="preserve"> And Symbols.................................................................</w:t>
      </w:r>
      <w:r>
        <w:rPr>
          <w:rFonts w:hint="default" w:ascii="Times New Roman" w:hAnsi="Times New Roman" w:cs="Times New Roman"/>
          <w:sz w:val="21"/>
          <w:szCs w:val="21"/>
        </w:rPr>
        <w:fldChar w:fldCharType="end"/>
      </w:r>
      <w:r>
        <w:rPr>
          <w:rFonts w:hint="eastAsia" w:cs="Times New Roman"/>
          <w:sz w:val="21"/>
          <w:szCs w:val="21"/>
          <w:lang w:val="en-US" w:eastAsia="zh-CN"/>
        </w:rPr>
        <w:t>2</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eastAsia"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_Toc13211 </w:instrText>
      </w:r>
      <w:r>
        <w:rPr>
          <w:rFonts w:hint="default" w:ascii="Times New Roman" w:hAnsi="Times New Roman" w:cs="Times New Roman"/>
          <w:sz w:val="21"/>
          <w:szCs w:val="21"/>
        </w:rPr>
        <w:fldChar w:fldCharType="separate"/>
      </w:r>
      <w:r>
        <w:rPr>
          <w:rFonts w:hint="eastAsia" w:ascii="Times New Roman" w:hAnsi="Times New Roman" w:cs="Times New Roman"/>
          <w:sz w:val="21"/>
          <w:szCs w:val="21"/>
          <w:lang w:val="en-US" w:eastAsia="zh-CN"/>
        </w:rPr>
        <w:t>2</w:t>
      </w:r>
      <w:r>
        <w:rPr>
          <w:rFonts w:hint="default" w:ascii="Times New Roman" w:hAnsi="Times New Roman" w:cs="Times New Roman"/>
          <w:bCs w:val="0"/>
          <w:sz w:val="21"/>
          <w:szCs w:val="21"/>
          <w:lang w:val="en-US" w:eastAsia="zh-CN"/>
        </w:rPr>
        <w:t>.1</w:t>
      </w:r>
      <w:r>
        <w:rPr>
          <w:rFonts w:hint="eastAsia" w:ascii="Times New Roman" w:hAnsi="Times New Roman" w:cs="Times New Roman"/>
          <w:bCs w:val="0"/>
          <w:sz w:val="21"/>
          <w:szCs w:val="21"/>
          <w:lang w:val="en-US" w:eastAsia="zh-CN"/>
        </w:rPr>
        <w:t xml:space="preserve">  </w:t>
      </w:r>
      <w:r>
        <w:rPr>
          <w:rStyle w:val="20"/>
          <w:color w:val="auto"/>
          <w:sz w:val="21"/>
          <w:szCs w:val="21"/>
          <w:u w:val="none"/>
        </w:rPr>
        <w:t>Terms</w:t>
      </w:r>
      <w:r>
        <w:rPr>
          <w:rFonts w:hint="eastAsia"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 2</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eastAsia="宋体"/>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_Toc25844 </w:instrText>
      </w:r>
      <w:r>
        <w:rPr>
          <w:rFonts w:hint="default" w:ascii="Times New Roman" w:hAnsi="Times New Roman" w:cs="Times New Roman"/>
          <w:sz w:val="21"/>
          <w:szCs w:val="21"/>
        </w:rPr>
        <w:fldChar w:fldCharType="separate"/>
      </w:r>
      <w:r>
        <w:rPr>
          <w:rFonts w:hint="eastAsia" w:ascii="Times New Roman" w:hAnsi="Times New Roman" w:cs="Times New Roman"/>
          <w:sz w:val="21"/>
          <w:szCs w:val="21"/>
          <w:lang w:val="en-US" w:eastAsia="zh-CN"/>
        </w:rPr>
        <w:t>2</w:t>
      </w:r>
      <w:r>
        <w:rPr>
          <w:rFonts w:hint="default" w:ascii="Times New Roman" w:hAnsi="Times New Roman" w:cs="Times New Roman"/>
          <w:bCs w:val="0"/>
          <w:sz w:val="21"/>
          <w:szCs w:val="21"/>
          <w:lang w:val="en-US" w:eastAsia="zh-CN"/>
        </w:rPr>
        <w:t xml:space="preserve">.2  </w:t>
      </w:r>
      <w:r>
        <w:rPr>
          <w:rStyle w:val="20"/>
          <w:rFonts w:hint="eastAsia"/>
          <w:color w:val="auto"/>
          <w:sz w:val="21"/>
          <w:szCs w:val="21"/>
          <w:u w:val="none"/>
          <w:lang w:val="en-US" w:eastAsia="zh-CN"/>
        </w:rPr>
        <w:t>Symbols</w:t>
      </w:r>
      <w:r>
        <w:rPr>
          <w:rFonts w:hint="eastAsia" w:ascii="Times New Roman" w:hAnsi="Times New Roman"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....3</w:t>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default" w:ascii="Times New Roman" w:hAnsi="Times New Roman" w:cs="Times New Roman"/>
          <w:sz w:val="21"/>
          <w:szCs w:val="21"/>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_Toc28149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eastAsia="zh-CN"/>
        </w:rPr>
        <w:t>3</w:t>
      </w:r>
      <w:r>
        <w:rPr>
          <w:rFonts w:hint="default" w:ascii="Times New Roman" w:hAnsi="Times New Roman" w:cs="Times New Roman"/>
          <w:sz w:val="21"/>
          <w:szCs w:val="21"/>
          <w:lang w:eastAsia="zh-CN"/>
        </w:rPr>
        <w:t xml:space="preserve">  </w:t>
      </w:r>
      <w:r>
        <w:rPr>
          <w:rStyle w:val="20"/>
          <w:color w:val="auto"/>
          <w:sz w:val="21"/>
          <w:szCs w:val="21"/>
          <w:u w:val="none"/>
        </w:rPr>
        <w:t>Basic Requirements</w:t>
      </w:r>
      <w:r>
        <w:rPr>
          <w:rStyle w:val="20"/>
          <w:rFonts w:hint="eastAsia"/>
          <w:color w:val="auto"/>
          <w:sz w:val="21"/>
          <w:szCs w:val="21"/>
          <w:u w:val="none"/>
          <w:lang w:val="en-US" w:eastAsia="zh-CN"/>
        </w:rPr>
        <w:t>..................................................................5</w:t>
      </w:r>
      <w:r>
        <w:rPr>
          <w:rFonts w:hint="default" w:ascii="Times New Roman" w:hAnsi="Times New Roman" w:cs="Times New Roman"/>
          <w:sz w:val="21"/>
          <w:szCs w:val="21"/>
        </w:rPr>
        <w:fldChar w:fldCharType="end"/>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_Toc10544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4</w:t>
      </w:r>
      <w:r>
        <w:rPr>
          <w:rFonts w:hint="default" w:ascii="Times New Roman" w:hAnsi="Times New Roman" w:cs="Times New Roman"/>
          <w:sz w:val="21"/>
          <w:szCs w:val="21"/>
          <w:lang w:val="en-US" w:eastAsia="zh-CN"/>
        </w:rPr>
        <w:t xml:space="preserve">  </w:t>
      </w:r>
      <w:r>
        <w:rPr>
          <w:rStyle w:val="20"/>
          <w:rFonts w:hint="eastAsia"/>
          <w:color w:val="auto"/>
          <w:sz w:val="21"/>
          <w:szCs w:val="21"/>
          <w:u w:val="none"/>
        </w:rPr>
        <w:t>Engineering</w:t>
      </w:r>
      <w:r>
        <w:rPr>
          <w:rStyle w:val="20"/>
          <w:rFonts w:hint="eastAsia"/>
          <w:color w:val="auto"/>
          <w:sz w:val="21"/>
          <w:szCs w:val="21"/>
          <w:u w:val="none"/>
          <w:lang w:val="en-US" w:eastAsia="zh-CN"/>
        </w:rPr>
        <w:t xml:space="preserve"> Investi</w:t>
      </w:r>
      <w:r>
        <w:rPr>
          <w:rFonts w:hint="eastAsia" w:ascii="Times New Roman" w:hAnsi="Times New Roman" w:cs="Times New Roman"/>
          <w:sz w:val="21"/>
          <w:szCs w:val="21"/>
          <w:lang w:val="en-US" w:eastAsia="zh-CN"/>
        </w:rPr>
        <w:t>gation...............................</w:t>
      </w:r>
      <w:r>
        <w:rPr>
          <w:rFonts w:hint="eastAsia" w:cs="Times New Roman"/>
          <w:sz w:val="21"/>
          <w:szCs w:val="21"/>
          <w:lang w:val="en-US" w:eastAsia="zh-CN"/>
        </w:rPr>
        <w:t>.....</w:t>
      </w:r>
      <w:r>
        <w:rPr>
          <w:rFonts w:hint="eastAsia" w:ascii="Times New Roman" w:hAnsi="Times New Roman"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.....7</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_Toc13211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4.1</w:t>
      </w:r>
      <w:r>
        <w:rPr>
          <w:rFonts w:hint="eastAsia" w:ascii="Times New Roman" w:hAnsi="Times New Roman" w:cs="Times New Roman"/>
          <w:bCs w:val="0"/>
          <w:sz w:val="21"/>
          <w:szCs w:val="21"/>
          <w:lang w:val="en-US" w:eastAsia="zh-CN"/>
        </w:rPr>
        <w:t xml:space="preserve">  </w:t>
      </w:r>
      <w:r>
        <w:rPr>
          <w:rFonts w:hint="default" w:ascii="Times New Roman" w:hAnsi="Times New Roman" w:cs="Times New Roman"/>
          <w:sz w:val="21"/>
          <w:szCs w:val="21"/>
          <w:lang w:val="en-US" w:eastAsia="zh-CN"/>
        </w:rPr>
        <w:t>General Require</w:t>
      </w:r>
      <w:r>
        <w:rPr>
          <w:rFonts w:hint="eastAsia" w:cs="Times New Roman"/>
          <w:sz w:val="21"/>
          <w:szCs w:val="21"/>
          <w:lang w:val="en-US" w:eastAsia="zh-CN"/>
        </w:rPr>
        <w:t>ments.....</w:t>
      </w:r>
      <w:r>
        <w:rPr>
          <w:rFonts w:hint="eastAsia" w:ascii="Times New Roman" w:hAnsi="Times New Roman" w:cs="Times New Roman"/>
          <w:sz w:val="21"/>
          <w:szCs w:val="21"/>
          <w:lang w:val="en-US" w:eastAsia="zh-CN"/>
        </w:rPr>
        <w:t>.....</w:t>
      </w:r>
      <w:r>
        <w:rPr>
          <w:rFonts w:hint="eastAsia"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..7</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_Toc25844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 xml:space="preserve">4.2  </w:t>
      </w:r>
      <w:r>
        <w:rPr>
          <w:rFonts w:hint="eastAsia" w:ascii="Times New Roman" w:hAnsi="Times New Roman" w:eastAsia="宋体" w:cs="Times New Roman"/>
          <w:kern w:val="2"/>
          <w:sz w:val="21"/>
          <w:szCs w:val="21"/>
          <w:lang w:val="en-US" w:eastAsia="zh-CN" w:bidi="ar-SA"/>
        </w:rPr>
        <w:t xml:space="preserve">Supplementary </w:t>
      </w:r>
      <w:r>
        <w:rPr>
          <w:rFonts w:hint="eastAsia" w:cs="Times New Roman"/>
          <w:kern w:val="2"/>
          <w:sz w:val="21"/>
          <w:szCs w:val="21"/>
          <w:lang w:val="en-US" w:eastAsia="zh-CN" w:bidi="ar-SA"/>
        </w:rPr>
        <w:t>I</w:t>
      </w:r>
      <w:r>
        <w:rPr>
          <w:rFonts w:hint="eastAsia" w:ascii="Times New Roman" w:hAnsi="Times New Roman" w:eastAsia="宋体" w:cs="Times New Roman"/>
          <w:kern w:val="2"/>
          <w:sz w:val="21"/>
          <w:szCs w:val="21"/>
          <w:lang w:val="en-US" w:eastAsia="zh-CN" w:bidi="ar-SA"/>
        </w:rPr>
        <w:t>nvestigation.</w:t>
      </w:r>
      <w:r>
        <w:rPr>
          <w:rFonts w:hint="eastAsia" w:ascii="Times New Roman" w:hAnsi="Times New Roman" w:cs="Times New Roman"/>
          <w:sz w:val="21"/>
          <w:szCs w:val="21"/>
          <w:lang w:val="en-US" w:eastAsia="zh-CN"/>
        </w:rPr>
        <w:t>............</w:t>
      </w:r>
      <w:r>
        <w:rPr>
          <w:rFonts w:hint="eastAsia" w:cs="Times New Roman"/>
          <w:sz w:val="21"/>
          <w:szCs w:val="21"/>
          <w:lang w:val="en-US" w:eastAsia="zh-CN"/>
        </w:rPr>
        <w:t>..</w:t>
      </w:r>
      <w:r>
        <w:rPr>
          <w:rFonts w:hint="eastAsia" w:ascii="Times New Roman" w:hAnsi="Times New Roman"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..8</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_Toc4171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 xml:space="preserve">4.3  </w:t>
      </w:r>
      <w:r>
        <w:rPr>
          <w:rFonts w:hint="eastAsia" w:ascii="Times New Roman" w:hAnsi="Times New Roman" w:cs="Times New Roman"/>
          <w:sz w:val="21"/>
          <w:szCs w:val="21"/>
          <w:lang w:val="en-US" w:eastAsia="zh-CN"/>
        </w:rPr>
        <w:t>S</w:t>
      </w:r>
      <w:r>
        <w:rPr>
          <w:rFonts w:hint="default" w:ascii="Times New Roman" w:hAnsi="Times New Roman" w:cs="Times New Roman"/>
          <w:sz w:val="21"/>
          <w:szCs w:val="21"/>
          <w:lang w:val="en-US" w:eastAsia="zh-CN"/>
        </w:rPr>
        <w:t>urvey</w:t>
      </w:r>
      <w:r>
        <w:rPr>
          <w:rFonts w:hint="eastAsia" w:ascii="Times New Roman" w:hAnsi="Times New Roman" w:cs="Times New Roman"/>
          <w:sz w:val="21"/>
          <w:szCs w:val="21"/>
          <w:lang w:val="en-US" w:eastAsia="zh-CN"/>
        </w:rPr>
        <w:t xml:space="preserve"> </w:t>
      </w:r>
      <w:r>
        <w:rPr>
          <w:bCs/>
          <w:color w:val="323232" w:themeColor="text1"/>
          <w:szCs w:val="21"/>
          <w14:textFill>
            <w14:solidFill>
              <w14:schemeClr w14:val="tx1"/>
            </w14:solidFill>
          </w14:textFill>
        </w:rPr>
        <w:t xml:space="preserve">of </w:t>
      </w:r>
      <w:r>
        <w:rPr>
          <w:rFonts w:hint="eastAsia"/>
          <w:bCs/>
          <w:color w:val="323232" w:themeColor="text1"/>
          <w:szCs w:val="21"/>
          <w:lang w:val="en-US" w:eastAsia="zh-CN"/>
          <w14:textFill>
            <w14:solidFill>
              <w14:schemeClr w14:val="tx1"/>
            </w14:solidFill>
          </w14:textFill>
        </w:rPr>
        <w:t>E</w:t>
      </w:r>
      <w:r>
        <w:rPr>
          <w:bCs/>
          <w:color w:val="323232" w:themeColor="text1"/>
          <w:szCs w:val="21"/>
          <w14:textFill>
            <w14:solidFill>
              <w14:schemeClr w14:val="tx1"/>
            </w14:solidFill>
          </w14:textFill>
        </w:rPr>
        <w:t xml:space="preserve">xisting </w:t>
      </w:r>
      <w:r>
        <w:rPr>
          <w:rFonts w:hint="eastAsia"/>
          <w:bCs/>
          <w:color w:val="323232" w:themeColor="text1"/>
          <w:szCs w:val="21"/>
          <w:lang w:val="en-US" w:eastAsia="zh-CN"/>
          <w14:textFill>
            <w14:solidFill>
              <w14:schemeClr w14:val="tx1"/>
            </w14:solidFill>
          </w14:textFill>
        </w:rPr>
        <w:t>P</w:t>
      </w:r>
      <w:r>
        <w:rPr>
          <w:bCs/>
          <w:color w:val="323232" w:themeColor="text1"/>
          <w:szCs w:val="21"/>
          <w14:textFill>
            <w14:solidFill>
              <w14:schemeClr w14:val="tx1"/>
            </w14:solidFill>
          </w14:textFill>
        </w:rPr>
        <w:t xml:space="preserve">ile </w:t>
      </w:r>
      <w:r>
        <w:rPr>
          <w:rFonts w:hint="eastAsia"/>
          <w:bCs/>
          <w:color w:val="323232" w:themeColor="text1"/>
          <w:szCs w:val="21"/>
          <w:lang w:val="en-US" w:eastAsia="zh-CN"/>
          <w14:textFill>
            <w14:solidFill>
              <w14:schemeClr w14:val="tx1"/>
            </w14:solidFill>
          </w14:textFill>
        </w:rPr>
        <w:t>F</w:t>
      </w:r>
      <w:r>
        <w:rPr>
          <w:bCs/>
          <w:color w:val="323232" w:themeColor="text1"/>
          <w:szCs w:val="21"/>
          <w14:textFill>
            <w14:solidFill>
              <w14:schemeClr w14:val="tx1"/>
            </w14:solidFill>
          </w14:textFill>
        </w:rPr>
        <w:t>oundation</w:t>
      </w:r>
      <w:r>
        <w:rPr>
          <w:rFonts w:hint="eastAsia"/>
          <w:bCs/>
          <w:color w:val="323232" w:themeColor="text1"/>
          <w:szCs w:val="21"/>
          <w:lang w:val="en-US" w:eastAsia="zh-CN"/>
          <w14:textFill>
            <w14:solidFill>
              <w14:schemeClr w14:val="tx1"/>
            </w14:solidFill>
          </w14:textFill>
        </w:rPr>
        <w:t>..............</w:t>
      </w:r>
      <w:r>
        <w:rPr>
          <w:rFonts w:hint="eastAsia" w:ascii="Times New Roman" w:hAnsi="Times New Roman" w:cs="Times New Roman"/>
          <w:sz w:val="21"/>
          <w:szCs w:val="21"/>
          <w:lang w:val="en-US" w:eastAsia="zh-CN"/>
        </w:rPr>
        <w:t>...</w:t>
      </w:r>
      <w:r>
        <w:rPr>
          <w:rFonts w:hint="eastAsia"/>
          <w:bCs/>
          <w:color w:val="323232" w:themeColor="text1"/>
          <w:szCs w:val="21"/>
          <w:lang w:val="en-US" w:eastAsia="zh-CN"/>
          <w14:textFill>
            <w14:solidFill>
              <w14:schemeClr w14:val="tx1"/>
            </w14:solidFill>
          </w14:textFill>
        </w:rPr>
        <w:t>..........</w:t>
      </w:r>
      <w:r>
        <w:rPr>
          <w:rFonts w:hint="default" w:ascii="Times New Roman" w:hAnsi="Times New Roman" w:cs="Times New Roman"/>
          <w:sz w:val="21"/>
          <w:szCs w:val="21"/>
        </w:rPr>
        <w:fldChar w:fldCharType="end"/>
      </w:r>
      <w:r>
        <w:rPr>
          <w:rFonts w:hint="eastAsia" w:cs="Times New Roman"/>
          <w:sz w:val="21"/>
          <w:szCs w:val="21"/>
          <w:lang w:val="en-US" w:eastAsia="zh-CN"/>
        </w:rPr>
        <w:t>....9</w:t>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_Toc30189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5</w:t>
      </w:r>
      <w:r>
        <w:rPr>
          <w:rFonts w:hint="default" w:ascii="Times New Roman" w:hAnsi="Times New Roman" w:cs="Times New Roman"/>
          <w:sz w:val="21"/>
          <w:szCs w:val="21"/>
          <w:lang w:val="en-US" w:eastAsia="zh-CN"/>
        </w:rPr>
        <w:t xml:space="preserve">  </w:t>
      </w:r>
      <w:r>
        <w:rPr>
          <w:rFonts w:hint="eastAsia" w:ascii="Times New Roman" w:hAnsi="Times New Roman" w:eastAsia="宋体" w:cs="Times New Roman"/>
          <w:kern w:val="2"/>
          <w:sz w:val="21"/>
          <w:szCs w:val="21"/>
          <w:lang w:val="en-US" w:eastAsia="zh-CN" w:bidi="ar-SA"/>
        </w:rPr>
        <w:t>Scheme</w:t>
      </w:r>
      <w:r>
        <w:rPr>
          <w:rFonts w:hint="default" w:ascii="Times New Roman" w:hAnsi="Times New Roman" w:eastAsia="宋体" w:cs="Times New Roman"/>
          <w:kern w:val="2"/>
          <w:sz w:val="21"/>
          <w:szCs w:val="21"/>
          <w:lang w:val="en-US" w:eastAsia="zh-CN" w:bidi="ar-SA"/>
        </w:rPr>
        <w:t> </w:t>
      </w:r>
      <w:r>
        <w:rPr>
          <w:rFonts w:hint="eastAsia" w:ascii="Times New Roman" w:hAnsi="Times New Roman" w:eastAsia="宋体" w:cs="Times New Roman"/>
          <w:kern w:val="2"/>
          <w:sz w:val="21"/>
          <w:szCs w:val="21"/>
          <w:lang w:val="en-US" w:eastAsia="zh-CN" w:bidi="ar-SA"/>
        </w:rPr>
        <w:t>D</w:t>
      </w:r>
      <w:r>
        <w:rPr>
          <w:rFonts w:hint="default" w:ascii="Times New Roman" w:hAnsi="Times New Roman" w:eastAsia="宋体" w:cs="Times New Roman"/>
          <w:kern w:val="2"/>
          <w:sz w:val="21"/>
          <w:szCs w:val="21"/>
          <w:lang w:val="en-US" w:eastAsia="zh-CN" w:bidi="ar-SA"/>
        </w:rPr>
        <w:t>esign</w:t>
      </w:r>
      <w:r>
        <w:rPr>
          <w:rFonts w:hint="eastAsia" w:ascii="Times New Roman" w:hAnsi="Times New Roman" w:eastAsia="宋体" w:cs="Times New Roman"/>
          <w:kern w:val="2"/>
          <w:sz w:val="21"/>
          <w:szCs w:val="21"/>
          <w:lang w:val="en-US" w:eastAsia="zh-CN" w:bidi="ar-SA"/>
        </w:rPr>
        <w:t>.....</w:t>
      </w:r>
      <w:r>
        <w:rPr>
          <w:rFonts w:hint="eastAsia" w:ascii="Times New Roman" w:hAnsi="Times New Roman"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.........................................................11</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_Toc28428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5.1</w:t>
      </w:r>
      <w:r>
        <w:rPr>
          <w:rFonts w:hint="eastAsia" w:ascii="Times New Roman" w:hAnsi="Times New Roman" w:cs="Times New Roman"/>
          <w:bCs w:val="0"/>
          <w:sz w:val="21"/>
          <w:szCs w:val="21"/>
          <w:lang w:val="en-US" w:eastAsia="zh-CN"/>
        </w:rPr>
        <w:t xml:space="preserve"> </w:t>
      </w:r>
      <w:r>
        <w:rPr>
          <w:rFonts w:hint="default" w:ascii="Times New Roman" w:hAnsi="Times New Roman" w:cs="Times New Roman"/>
          <w:sz w:val="21"/>
          <w:szCs w:val="21"/>
          <w:lang w:val="en-US" w:eastAsia="zh-CN"/>
        </w:rPr>
        <w:t xml:space="preserve"> </w:t>
      </w:r>
      <w:r>
        <w:rPr>
          <w:rFonts w:hint="eastAsia" w:ascii="Times New Roman" w:hAnsi="Times New Roman" w:eastAsia="宋体" w:cs="Times New Roman"/>
          <w:kern w:val="2"/>
          <w:sz w:val="21"/>
          <w:szCs w:val="21"/>
          <w:lang w:val="en-US" w:eastAsia="zh-CN" w:bidi="ar-SA"/>
        </w:rPr>
        <w:t>Scheme Selection....</w:t>
      </w:r>
      <w:r>
        <w:rPr>
          <w:rFonts w:hint="eastAsia" w:cs="Times New Roman"/>
          <w:sz w:val="21"/>
          <w:szCs w:val="21"/>
          <w:lang w:val="en-US" w:eastAsia="zh-CN"/>
        </w:rPr>
        <w:t>.........</w:t>
      </w:r>
      <w:r>
        <w:rPr>
          <w:rFonts w:hint="eastAsia" w:ascii="Times New Roman" w:hAnsi="Times New Roman" w:cs="Times New Roman"/>
          <w:sz w:val="21"/>
          <w:szCs w:val="21"/>
          <w:lang w:val="en-US" w:eastAsia="zh-CN"/>
        </w:rPr>
        <w:t>....</w:t>
      </w:r>
      <w:r>
        <w:rPr>
          <w:rFonts w:hint="eastAsia"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..................................11</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eastAsia"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_Toc10038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zh-CN"/>
        </w:rPr>
        <w:t>5.2</w:t>
      </w:r>
      <w:r>
        <w:rPr>
          <w:rFonts w:hint="default" w:ascii="Times New Roman" w:hAnsi="Times New Roman" w:cs="Times New Roman"/>
          <w:bCs w:val="0"/>
          <w:sz w:val="21"/>
          <w:szCs w:val="21"/>
          <w:lang w:val="en-US" w:eastAsia="zh-CN"/>
        </w:rPr>
        <w:t xml:space="preserve"> </w:t>
      </w:r>
      <w:r>
        <w:rPr>
          <w:rFonts w:hint="default" w:ascii="Times New Roman" w:hAnsi="Times New Roman" w:cs="Times New Roman"/>
          <w:sz w:val="21"/>
          <w:szCs w:val="21"/>
          <w:lang w:val="en-US" w:eastAsia="zh-CN"/>
        </w:rPr>
        <w:t xml:space="preserve"> </w:t>
      </w:r>
      <w:r>
        <w:rPr>
          <w:rFonts w:hint="eastAsia" w:ascii="Times New Roman" w:hAnsi="Times New Roman" w:eastAsia="宋体" w:cs="Times New Roman"/>
          <w:kern w:val="2"/>
          <w:sz w:val="21"/>
          <w:szCs w:val="21"/>
          <w:lang w:val="en-US" w:eastAsia="zh-CN" w:bidi="ar-SA"/>
        </w:rPr>
        <w:t>Removal Region</w:t>
      </w:r>
      <w:r>
        <w:rPr>
          <w:rFonts w:hint="eastAsia" w:ascii="Times New Roman" w:hAnsi="Times New Roman" w:cs="Times New Roman"/>
          <w:kern w:val="2"/>
          <w:sz w:val="21"/>
          <w:szCs w:val="21"/>
          <w:lang w:val="en-US" w:eastAsia="zh-CN" w:bidi="ar-SA"/>
        </w:rPr>
        <w:t>.</w:t>
      </w:r>
      <w:r>
        <w:rPr>
          <w:rFonts w:hint="eastAsia" w:cs="Times New Roman"/>
          <w:kern w:val="2"/>
          <w:sz w:val="21"/>
          <w:szCs w:val="21"/>
          <w:lang w:val="en-US" w:eastAsia="zh-CN" w:bidi="ar-SA"/>
        </w:rPr>
        <w:t>........</w:t>
      </w:r>
      <w:r>
        <w:rPr>
          <w:rFonts w:hint="eastAsia" w:ascii="Times New Roman" w:hAnsi="Times New Roman" w:cs="Times New Roman"/>
          <w:sz w:val="21"/>
          <w:szCs w:val="21"/>
          <w:lang w:val="en-US" w:eastAsia="zh-CN"/>
        </w:rPr>
        <w:t>....</w:t>
      </w:r>
      <w:r>
        <w:rPr>
          <w:rFonts w:hint="eastAsia" w:cs="Times New Roman"/>
          <w:kern w:val="2"/>
          <w:sz w:val="21"/>
          <w:szCs w:val="21"/>
          <w:lang w:val="en-US" w:eastAsia="zh-CN" w:bidi="ar-SA"/>
        </w:rPr>
        <w:t>................................</w:t>
      </w:r>
      <w:r>
        <w:rPr>
          <w:rFonts w:hint="eastAsia" w:ascii="Times New Roman" w:hAnsi="Times New Roman" w:cs="Times New Roman"/>
          <w:kern w:val="2"/>
          <w:sz w:val="21"/>
          <w:szCs w:val="21"/>
          <w:lang w:val="en-US" w:eastAsia="zh-CN" w:bidi="ar-SA"/>
        </w:rPr>
        <w:t>............</w:t>
      </w:r>
      <w:r>
        <w:rPr>
          <w:rFonts w:hint="eastAsia" w:cs="Times New Roman"/>
          <w:kern w:val="2"/>
          <w:sz w:val="21"/>
          <w:szCs w:val="21"/>
          <w:lang w:val="en-US" w:eastAsia="zh-CN" w:bidi="ar-SA"/>
        </w:rPr>
        <w:t>.</w:t>
      </w:r>
      <w:r>
        <w:rPr>
          <w:rFonts w:hint="default" w:ascii="Times New Roman" w:hAnsi="Times New Roman" w:cs="Times New Roman"/>
          <w:sz w:val="21"/>
          <w:szCs w:val="21"/>
        </w:rPr>
        <w:fldChar w:fldCharType="end"/>
      </w:r>
      <w:r>
        <w:rPr>
          <w:rFonts w:hint="eastAsia" w:cs="Times New Roman"/>
          <w:sz w:val="21"/>
          <w:szCs w:val="21"/>
          <w:lang w:val="en-US" w:eastAsia="zh-CN"/>
        </w:rPr>
        <w:t>13</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Lines="0" w:beforeAutospacing="0" w:after="0" w:afterLines="0" w:afterAutospacing="0" w:line="240" w:lineRule="auto"/>
        <w:ind w:left="0" w:right="0" w:firstLine="0" w:firstLineChars="0"/>
        <w:jc w:val="right"/>
        <w:rPr>
          <w:rFonts w:hint="default" w:ascii="Times New Roman" w:hAnsi="Times New Roman" w:eastAsia="宋体" w:cs="Times New Roman"/>
          <w:b w:val="0"/>
          <w:kern w:val="2"/>
          <w:sz w:val="21"/>
          <w:szCs w:val="21"/>
          <w:lang w:val="en-US" w:eastAsia="zh-CN" w:bidi="ar-SA"/>
        </w:rPr>
      </w:pPr>
      <w:bookmarkStart w:id="295" w:name="_Toc2427"/>
      <w:bookmarkStart w:id="296" w:name="_Toc20859"/>
      <w:bookmarkStart w:id="297" w:name="_Toc2299"/>
      <w:r>
        <w:rPr>
          <w:rFonts w:hint="default" w:ascii="Times New Roman" w:hAnsi="Times New Roman" w:eastAsia="宋体" w:cs="Times New Roman"/>
          <w:b w:val="0"/>
          <w:kern w:val="2"/>
          <w:sz w:val="21"/>
          <w:szCs w:val="21"/>
          <w:lang w:val="en-US" w:eastAsia="zh-CN" w:bidi="ar-SA"/>
        </w:rPr>
        <w:fldChar w:fldCharType="begin"/>
      </w:r>
      <w:r>
        <w:rPr>
          <w:rFonts w:hint="default" w:ascii="Times New Roman" w:hAnsi="Times New Roman" w:eastAsia="宋体" w:cs="Times New Roman"/>
          <w:b w:val="0"/>
          <w:kern w:val="2"/>
          <w:sz w:val="21"/>
          <w:szCs w:val="21"/>
          <w:lang w:val="en-US" w:eastAsia="zh-CN" w:bidi="ar-SA"/>
        </w:rPr>
        <w:instrText xml:space="preserve"> HYPERLINK \l _Toc7959 </w:instrText>
      </w:r>
      <w:r>
        <w:rPr>
          <w:rFonts w:hint="default" w:ascii="Times New Roman" w:hAnsi="Times New Roman" w:eastAsia="宋体" w:cs="Times New Roman"/>
          <w:b w:val="0"/>
          <w:kern w:val="2"/>
          <w:sz w:val="21"/>
          <w:szCs w:val="21"/>
          <w:lang w:val="en-US" w:eastAsia="zh-CN" w:bidi="ar-SA"/>
        </w:rPr>
        <w:fldChar w:fldCharType="separate"/>
      </w:r>
      <w:r>
        <w:rPr>
          <w:rFonts w:hint="default" w:ascii="Times New Roman" w:hAnsi="Times New Roman" w:eastAsia="宋体" w:cs="Times New Roman"/>
          <w:b w:val="0"/>
          <w:kern w:val="2"/>
          <w:sz w:val="21"/>
          <w:szCs w:val="21"/>
          <w:lang w:val="en-US" w:eastAsia="zh-CN" w:bidi="ar-SA"/>
        </w:rPr>
        <w:t xml:space="preserve">5.3  </w:t>
      </w:r>
      <w:r>
        <w:rPr>
          <w:rFonts w:hint="eastAsia" w:ascii="Times New Roman" w:hAnsi="Times New Roman" w:eastAsia="宋体" w:cs="Times New Roman"/>
          <w:b w:val="0"/>
          <w:kern w:val="2"/>
          <w:sz w:val="21"/>
          <w:szCs w:val="21"/>
          <w:lang w:val="en-US" w:eastAsia="zh-CN" w:bidi="ar-SA"/>
        </w:rPr>
        <w:t>A</w:t>
      </w:r>
      <w:r>
        <w:rPr>
          <w:rFonts w:hint="default" w:ascii="Times New Roman" w:hAnsi="Times New Roman" w:eastAsia="宋体" w:cs="Times New Roman"/>
          <w:b w:val="0"/>
          <w:kern w:val="2"/>
          <w:sz w:val="21"/>
          <w:szCs w:val="21"/>
          <w:lang w:val="en-US" w:eastAsia="zh-CN" w:bidi="ar-SA"/>
        </w:rPr>
        <w:t xml:space="preserve">nalysis and </w:t>
      </w:r>
      <w:r>
        <w:rPr>
          <w:rFonts w:hint="eastAsia" w:ascii="Times New Roman" w:hAnsi="Times New Roman" w:eastAsia="宋体" w:cs="Times New Roman"/>
          <w:b w:val="0"/>
          <w:kern w:val="2"/>
          <w:sz w:val="21"/>
          <w:szCs w:val="21"/>
          <w:lang w:val="en-US" w:eastAsia="zh-CN" w:bidi="ar-SA"/>
        </w:rPr>
        <w:t>C</w:t>
      </w:r>
      <w:r>
        <w:rPr>
          <w:rFonts w:hint="default" w:ascii="Times New Roman" w:hAnsi="Times New Roman" w:eastAsia="宋体" w:cs="Times New Roman"/>
          <w:b w:val="0"/>
          <w:kern w:val="2"/>
          <w:sz w:val="21"/>
          <w:szCs w:val="21"/>
          <w:lang w:val="en-US" w:eastAsia="zh-CN" w:bidi="ar-SA"/>
        </w:rPr>
        <w:t>alculation</w:t>
      </w:r>
      <w:r>
        <w:rPr>
          <w:rFonts w:hint="eastAsia" w:ascii="Times New Roman" w:hAnsi="Times New Roman" w:eastAsia="宋体" w:cs="Times New Roman"/>
          <w:b w:val="0"/>
          <w:kern w:val="2"/>
          <w:sz w:val="21"/>
          <w:szCs w:val="21"/>
          <w:lang w:val="en-US" w:eastAsia="zh-CN" w:bidi="ar-SA"/>
        </w:rPr>
        <w:t>....................</w:t>
      </w:r>
      <w:r>
        <w:rPr>
          <w:rFonts w:hint="default" w:ascii="Times New Roman" w:hAnsi="Times New Roman" w:eastAsia="宋体" w:cs="Times New Roman"/>
          <w:b w:val="0"/>
          <w:kern w:val="2"/>
          <w:sz w:val="21"/>
          <w:szCs w:val="21"/>
          <w:lang w:val="en-US" w:eastAsia="zh-CN" w:bidi="ar-SA"/>
        </w:rPr>
        <w:fldChar w:fldCharType="end"/>
      </w:r>
      <w:r>
        <w:rPr>
          <w:rFonts w:hint="eastAsia" w:ascii="Times New Roman" w:hAnsi="Times New Roman" w:eastAsia="宋体" w:cs="Times New Roman"/>
          <w:b w:val="0"/>
          <w:kern w:val="2"/>
          <w:sz w:val="21"/>
          <w:szCs w:val="21"/>
          <w:lang w:val="en-US" w:eastAsia="zh-CN" w:bidi="ar-SA"/>
        </w:rPr>
        <w:t>.........</w:t>
      </w:r>
      <w:r>
        <w:rPr>
          <w:rFonts w:hint="eastAsia" w:cs="Times New Roman"/>
          <w:b w:val="0"/>
          <w:kern w:val="2"/>
          <w:sz w:val="21"/>
          <w:szCs w:val="21"/>
          <w:lang w:val="en-US" w:eastAsia="zh-CN" w:bidi="ar-SA"/>
        </w:rPr>
        <w:t>......</w:t>
      </w:r>
      <w:r>
        <w:rPr>
          <w:rFonts w:hint="eastAsia" w:ascii="Times New Roman" w:hAnsi="Times New Roman" w:eastAsia="宋体" w:cs="Times New Roman"/>
          <w:b w:val="0"/>
          <w:kern w:val="2"/>
          <w:sz w:val="21"/>
          <w:szCs w:val="21"/>
          <w:lang w:val="en-US" w:eastAsia="zh-CN" w:bidi="ar-SA"/>
        </w:rPr>
        <w:t>..........1</w:t>
      </w:r>
      <w:bookmarkEnd w:id="295"/>
      <w:bookmarkEnd w:id="296"/>
      <w:bookmarkEnd w:id="297"/>
      <w:r>
        <w:rPr>
          <w:rFonts w:hint="eastAsia" w:cs="Times New Roman"/>
          <w:b w:val="0"/>
          <w:kern w:val="2"/>
          <w:sz w:val="21"/>
          <w:szCs w:val="21"/>
          <w:lang w:val="en-US" w:eastAsia="zh-CN" w:bidi="ar-SA"/>
        </w:rPr>
        <w:t>3</w:t>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_Toc30089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6</w:t>
      </w:r>
      <w:r>
        <w:rPr>
          <w:rFonts w:hint="default" w:ascii="Times New Roman" w:hAnsi="Times New Roman" w:cs="Times New Roman"/>
          <w:sz w:val="21"/>
          <w:szCs w:val="21"/>
          <w:lang w:val="en-US" w:eastAsia="zh-CN"/>
        </w:rPr>
        <w:t xml:space="preserve"> </w:t>
      </w:r>
      <w:r>
        <w:rPr>
          <w:rFonts w:hint="eastAsia" w:ascii="Times New Roman" w:hAnsi="Times New Roman" w:cs="Times New Roman"/>
          <w:sz w:val="21"/>
          <w:szCs w:val="21"/>
          <w:lang w:val="en-US" w:eastAsia="zh-CN"/>
        </w:rPr>
        <w:t xml:space="preserve"> </w:t>
      </w:r>
      <w:r>
        <w:rPr>
          <w:rFonts w:hint="eastAsia" w:ascii="Times New Roman" w:hAnsi="Times New Roman" w:eastAsia="宋体" w:cs="Times New Roman"/>
          <w:kern w:val="2"/>
          <w:sz w:val="21"/>
          <w:szCs w:val="21"/>
          <w:lang w:val="en-US" w:eastAsia="zh-CN" w:bidi="ar-SA"/>
        </w:rPr>
        <w:t>Construction...</w:t>
      </w:r>
      <w:r>
        <w:rPr>
          <w:rFonts w:hint="eastAsia" w:ascii="Times New Roman" w:hAnsi="Times New Roman" w:eastAsia="宋体" w:cs="Times New Roman"/>
          <w:b w:val="0"/>
          <w:kern w:val="2"/>
          <w:sz w:val="21"/>
          <w:szCs w:val="21"/>
          <w:lang w:val="en-US" w:eastAsia="zh-CN" w:bidi="ar-SA"/>
        </w:rPr>
        <w:t>........</w:t>
      </w:r>
      <w:r>
        <w:rPr>
          <w:rFonts w:hint="default" w:ascii="Times New Roman" w:hAnsi="Times New Roman" w:cs="Times New Roman"/>
          <w:sz w:val="21"/>
          <w:szCs w:val="21"/>
        </w:rPr>
        <w:fldChar w:fldCharType="end"/>
      </w:r>
      <w:r>
        <w:rPr>
          <w:rFonts w:hint="eastAsia" w:cs="Times New Roman"/>
          <w:sz w:val="21"/>
          <w:szCs w:val="21"/>
          <w:lang w:val="en-US" w:eastAsia="zh-CN"/>
        </w:rPr>
        <w:t>..................................................................17</w:t>
      </w:r>
    </w:p>
    <w:p>
      <w:pPr>
        <w:pStyle w:val="11"/>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firstLine="0" w:firstLineChars="0"/>
        <w:jc w:val="right"/>
        <w:textAlignment w:val="auto"/>
        <w:rPr>
          <w:rFonts w:hint="default" w:ascii="Times New Roman" w:hAnsi="Times New Roman" w:eastAsia="宋体" w:cs="Times New Roman"/>
          <w:sz w:val="21"/>
          <w:szCs w:val="21"/>
          <w:lang w:val="en-US" w:eastAsia="zh-CN"/>
        </w:rPr>
      </w:pPr>
      <w:r>
        <w:rPr>
          <w:rFonts w:hint="eastAsia" w:ascii="Times New Roman" w:hAnsi="Times New Roman" w:cs="Times New Roman"/>
          <w:sz w:val="21"/>
          <w:szCs w:val="21"/>
          <w:lang w:val="en-US" w:eastAsia="zh-CN"/>
        </w:rPr>
        <w:t xml:space="preserve">    </w:t>
      </w: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_Toc6755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6.1</w:t>
      </w:r>
      <w:r>
        <w:rPr>
          <w:rFonts w:hint="default" w:ascii="Times New Roman" w:hAnsi="Times New Roman" w:cs="Times New Roman"/>
          <w:sz w:val="21"/>
          <w:szCs w:val="21"/>
          <w:lang w:val="en-US" w:eastAsia="zh-CN"/>
        </w:rPr>
        <w:t xml:space="preserve"> </w:t>
      </w:r>
      <w:r>
        <w:rPr>
          <w:rFonts w:hint="eastAsia" w:ascii="Times New Roman" w:hAnsi="Times New Roman" w:cs="Times New Roman"/>
          <w:sz w:val="21"/>
          <w:szCs w:val="21"/>
          <w:lang w:val="en-US" w:eastAsia="zh-CN"/>
        </w:rPr>
        <w:t xml:space="preserve"> </w:t>
      </w:r>
      <w:r>
        <w:rPr>
          <w:rFonts w:hint="default" w:ascii="Times New Roman" w:hAnsi="Times New Roman" w:cs="Times New Roman"/>
          <w:sz w:val="21"/>
          <w:szCs w:val="21"/>
          <w:lang w:val="en-US" w:eastAsia="zh-CN"/>
        </w:rPr>
        <w:t>General Require</w:t>
      </w:r>
      <w:r>
        <w:rPr>
          <w:rFonts w:hint="eastAsia" w:cs="Times New Roman"/>
          <w:sz w:val="21"/>
          <w:szCs w:val="21"/>
          <w:lang w:val="en-US" w:eastAsia="zh-CN"/>
        </w:rPr>
        <w:t>ments............</w:t>
      </w:r>
      <w:r>
        <w:rPr>
          <w:rFonts w:hint="default" w:ascii="Times New Roman" w:hAnsi="Times New Roman" w:cs="Times New Roman"/>
          <w:sz w:val="21"/>
          <w:szCs w:val="21"/>
        </w:rPr>
        <w:fldChar w:fldCharType="end"/>
      </w:r>
      <w:r>
        <w:rPr>
          <w:rFonts w:hint="eastAsia" w:cs="Times New Roman"/>
          <w:sz w:val="21"/>
          <w:szCs w:val="21"/>
          <w:lang w:val="en-US" w:eastAsia="zh-CN"/>
        </w:rPr>
        <w:t>.</w:t>
      </w:r>
      <w:r>
        <w:rPr>
          <w:rFonts w:hint="eastAsia" w:ascii="Times New Roman" w:hAnsi="Times New Roman" w:eastAsia="宋体" w:cs="Times New Roman"/>
          <w:b w:val="0"/>
          <w:kern w:val="2"/>
          <w:sz w:val="21"/>
          <w:szCs w:val="21"/>
          <w:lang w:val="en-US" w:eastAsia="zh-CN" w:bidi="ar-SA"/>
        </w:rPr>
        <w:t>.</w:t>
      </w:r>
      <w:r>
        <w:rPr>
          <w:rFonts w:hint="eastAsia" w:cs="Times New Roman"/>
          <w:sz w:val="21"/>
          <w:szCs w:val="21"/>
          <w:lang w:val="en-US" w:eastAsia="zh-CN"/>
        </w:rPr>
        <w:t>...................................17</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_Toc19450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6.2</w:t>
      </w:r>
      <w:r>
        <w:rPr>
          <w:rFonts w:hint="default" w:ascii="Times New Roman" w:hAnsi="Times New Roman" w:cs="Times New Roman"/>
          <w:sz w:val="21"/>
          <w:szCs w:val="21"/>
          <w:lang w:val="en-US" w:eastAsia="zh-CN"/>
        </w:rPr>
        <w:t xml:space="preserve">   </w:t>
      </w:r>
      <w:r>
        <w:rPr>
          <w:rFonts w:hint="eastAsia" w:ascii="Times New Roman" w:hAnsi="Times New Roman" w:cs="Times New Roman"/>
          <w:sz w:val="21"/>
          <w:szCs w:val="21"/>
          <w:lang w:val="en-US" w:eastAsia="zh-CN"/>
        </w:rPr>
        <w:t>E</w:t>
      </w:r>
      <w:r>
        <w:rPr>
          <w:color w:val="323232" w:themeColor="text1"/>
          <w:szCs w:val="21"/>
          <w14:textFill>
            <w14:solidFill>
              <w14:schemeClr w14:val="tx1"/>
            </w14:solidFill>
          </w14:textFill>
        </w:rPr>
        <w:t xml:space="preserve">xtraction </w:t>
      </w:r>
      <w:r>
        <w:rPr>
          <w:rFonts w:hint="eastAsia"/>
          <w:color w:val="323232" w:themeColor="text1"/>
          <w:szCs w:val="21"/>
          <w:lang w:val="en-US" w:eastAsia="zh-CN"/>
          <w14:textFill>
            <w14:solidFill>
              <w14:schemeClr w14:val="tx1"/>
            </w14:solidFill>
          </w14:textFill>
        </w:rPr>
        <w:t>M</w:t>
      </w:r>
      <w:r>
        <w:rPr>
          <w:color w:val="323232" w:themeColor="text1"/>
          <w:szCs w:val="21"/>
          <w14:textFill>
            <w14:solidFill>
              <w14:schemeClr w14:val="tx1"/>
            </w14:solidFill>
          </w14:textFill>
        </w:rPr>
        <w:t>ethod</w:t>
      </w:r>
      <w:r>
        <w:rPr>
          <w:rFonts w:hint="eastAsia"/>
          <w:color w:val="323232" w:themeColor="text1"/>
          <w:szCs w:val="21"/>
          <w:lang w:val="en-US" w:eastAsia="zh-CN"/>
          <w14:textFill>
            <w14:solidFill>
              <w14:schemeClr w14:val="tx1"/>
            </w14:solidFill>
          </w14:textFill>
        </w:rPr>
        <w:t>...........</w:t>
      </w:r>
      <w:r>
        <w:rPr>
          <w:rFonts w:hint="default" w:ascii="Times New Roman" w:hAnsi="Times New Roman" w:cs="Times New Roman"/>
          <w:sz w:val="21"/>
          <w:szCs w:val="21"/>
        </w:rPr>
        <w:fldChar w:fldCharType="end"/>
      </w:r>
      <w:r>
        <w:rPr>
          <w:rFonts w:hint="eastAsia" w:cs="Times New Roman"/>
          <w:sz w:val="21"/>
          <w:szCs w:val="21"/>
          <w:lang w:val="en-US" w:eastAsia="zh-CN"/>
        </w:rPr>
        <w:t>..........................................18</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_Toc19638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6.3</w:t>
      </w:r>
      <w:r>
        <w:rPr>
          <w:rFonts w:hint="default" w:ascii="Times New Roman" w:hAnsi="Times New Roman" w:cs="Times New Roman"/>
          <w:sz w:val="21"/>
          <w:szCs w:val="21"/>
          <w:lang w:val="en-US" w:eastAsia="zh-CN"/>
        </w:rPr>
        <w:t xml:space="preserve">   </w:t>
      </w:r>
      <w:r>
        <w:rPr>
          <w:rFonts w:hint="eastAsia" w:ascii="Times New Roman" w:hAnsi="Times New Roman" w:cs="Times New Roman"/>
          <w:sz w:val="21"/>
          <w:szCs w:val="21"/>
          <w:lang w:val="en-US" w:eastAsia="zh-CN"/>
        </w:rPr>
        <w:t>C</w:t>
      </w:r>
      <w:r>
        <w:rPr>
          <w:color w:val="323232" w:themeColor="text1"/>
          <w:szCs w:val="21"/>
          <w14:textFill>
            <w14:solidFill>
              <w14:schemeClr w14:val="tx1"/>
            </w14:solidFill>
          </w14:textFill>
        </w:rPr>
        <w:t xml:space="preserve">rushing </w:t>
      </w:r>
      <w:r>
        <w:rPr>
          <w:rFonts w:hint="eastAsia"/>
          <w:color w:val="323232" w:themeColor="text1"/>
          <w:szCs w:val="21"/>
          <w:lang w:val="en-US" w:eastAsia="zh-CN"/>
          <w14:textFill>
            <w14:solidFill>
              <w14:schemeClr w14:val="tx1"/>
            </w14:solidFill>
          </w14:textFill>
        </w:rPr>
        <w:t>M</w:t>
      </w:r>
      <w:r>
        <w:rPr>
          <w:color w:val="323232" w:themeColor="text1"/>
          <w:szCs w:val="21"/>
          <w14:textFill>
            <w14:solidFill>
              <w14:schemeClr w14:val="tx1"/>
            </w14:solidFill>
          </w14:textFill>
        </w:rPr>
        <w:t>ethod</w:t>
      </w:r>
      <w:r>
        <w:rPr>
          <w:rFonts w:hint="eastAsia"/>
          <w:color w:val="323232" w:themeColor="text1"/>
          <w:szCs w:val="21"/>
          <w:lang w:val="en-US" w:eastAsia="zh-CN"/>
          <w14:textFill>
            <w14:solidFill>
              <w14:schemeClr w14:val="tx1"/>
            </w14:solidFill>
          </w14:textFill>
        </w:rPr>
        <w:t>.............</w:t>
      </w:r>
      <w:r>
        <w:rPr>
          <w:rFonts w:hint="eastAsia" w:cs="Times New Roman"/>
          <w:sz w:val="21"/>
          <w:szCs w:val="21"/>
          <w:lang w:val="en-US" w:eastAsia="zh-CN"/>
        </w:rPr>
        <w:t>.</w:t>
      </w:r>
      <w:r>
        <w:rPr>
          <w:rFonts w:hint="eastAsia"/>
          <w:color w:val="323232" w:themeColor="text1"/>
          <w:szCs w:val="21"/>
          <w:lang w:val="en-US" w:eastAsia="zh-CN"/>
          <w14:textFill>
            <w14:solidFill>
              <w14:schemeClr w14:val="tx1"/>
            </w14:solidFill>
          </w14:textFill>
        </w:rPr>
        <w:t>.............</w:t>
      </w:r>
      <w:r>
        <w:rPr>
          <w:rFonts w:hint="default" w:ascii="Times New Roman" w:hAnsi="Times New Roman" w:cs="Times New Roman"/>
          <w:sz w:val="21"/>
          <w:szCs w:val="21"/>
        </w:rPr>
        <w:fldChar w:fldCharType="end"/>
      </w:r>
      <w:r>
        <w:rPr>
          <w:rFonts w:hint="eastAsia" w:cs="Times New Roman"/>
          <w:sz w:val="21"/>
          <w:szCs w:val="21"/>
          <w:lang w:val="en-US" w:eastAsia="zh-CN"/>
        </w:rPr>
        <w:t>............................21</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_Toc26667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6.4</w:t>
      </w:r>
      <w:r>
        <w:rPr>
          <w:rFonts w:hint="default" w:ascii="Times New Roman" w:hAnsi="Times New Roman" w:cs="Times New Roman"/>
          <w:sz w:val="21"/>
          <w:szCs w:val="21"/>
          <w:lang w:val="en-US" w:eastAsia="zh-CN"/>
        </w:rPr>
        <w:t xml:space="preserve">   </w:t>
      </w:r>
      <w:r>
        <w:rPr>
          <w:rFonts w:hint="eastAsia" w:ascii="Times New Roman" w:hAnsi="Times New Roman" w:cs="Times New Roman"/>
          <w:sz w:val="21"/>
          <w:szCs w:val="21"/>
          <w:lang w:val="en-US" w:eastAsia="zh-CN"/>
        </w:rPr>
        <w:t>Over-water Construction</w:t>
      </w:r>
      <w:r>
        <w:rPr>
          <w:rFonts w:hint="default" w:ascii="Times New Roman" w:hAnsi="Times New Roman" w:cs="Times New Roman"/>
          <w:sz w:val="21"/>
          <w:szCs w:val="21"/>
          <w:lang w:val="en-US" w:eastAsia="zh-CN"/>
        </w:rPr>
        <w:t> </w:t>
      </w:r>
      <w:r>
        <w:rPr>
          <w:rFonts w:hint="eastAsia" w:ascii="Times New Roman" w:hAnsi="Times New Roman" w:cs="Times New Roman"/>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........................................23</w:t>
      </w:r>
    </w:p>
    <w:p>
      <w:pPr>
        <w:pStyle w:val="12"/>
        <w:keepNext w:val="0"/>
        <w:keepLines w:val="0"/>
        <w:pageBreakBefore w:val="0"/>
        <w:widowControl/>
        <w:tabs>
          <w:tab w:val="right" w:leader="dot" w:pos="8306"/>
        </w:tabs>
        <w:kinsoku/>
        <w:wordWrap/>
        <w:overflowPunct/>
        <w:topLinePunct w:val="0"/>
        <w:autoSpaceDE/>
        <w:autoSpaceDN/>
        <w:bidi w:val="0"/>
        <w:adjustRightInd/>
        <w:snapToGrid/>
        <w:spacing w:beforeLines="0" w:afterLines="0" w:line="240" w:lineRule="auto"/>
        <w:ind w:left="0" w:leftChars="0"/>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_Toc26667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6.</w:t>
      </w:r>
      <w:r>
        <w:rPr>
          <w:rFonts w:hint="eastAsia" w:ascii="Times New Roman" w:hAnsi="Times New Roman" w:cs="Times New Roman"/>
          <w:bCs w:val="0"/>
          <w:sz w:val="21"/>
          <w:szCs w:val="21"/>
          <w:lang w:val="en-US" w:eastAsia="zh-CN"/>
        </w:rPr>
        <w:t>5</w:t>
      </w:r>
      <w:r>
        <w:rPr>
          <w:rFonts w:hint="default" w:ascii="Times New Roman" w:hAnsi="Times New Roman" w:cs="Times New Roman"/>
          <w:sz w:val="21"/>
          <w:szCs w:val="21"/>
          <w:lang w:val="en-US" w:eastAsia="zh-CN"/>
        </w:rPr>
        <w:t xml:space="preserve">   </w:t>
      </w:r>
      <w:r>
        <w:rPr>
          <w:rFonts w:hint="eastAsia" w:ascii="Times New Roman" w:hAnsi="Times New Roman" w:cs="Times New Roman"/>
          <w:sz w:val="21"/>
          <w:szCs w:val="21"/>
          <w:lang w:val="en-US" w:eastAsia="zh-CN"/>
        </w:rPr>
        <w:t>Back</w:t>
      </w:r>
      <w:r>
        <w:rPr>
          <w:rFonts w:hint="eastAsia" w:cs="Times New Roman"/>
          <w:sz w:val="21"/>
          <w:szCs w:val="21"/>
          <w:lang w:val="en-US" w:eastAsia="zh-CN"/>
        </w:rPr>
        <w:t xml:space="preserve"> F</w:t>
      </w:r>
      <w:r>
        <w:rPr>
          <w:rFonts w:hint="eastAsia" w:ascii="Times New Roman" w:hAnsi="Times New Roman" w:cs="Times New Roman"/>
          <w:sz w:val="21"/>
          <w:szCs w:val="21"/>
          <w:lang w:val="en-US" w:eastAsia="zh-CN"/>
        </w:rPr>
        <w:t>ill of Pile Hole.</w:t>
      </w:r>
      <w:r>
        <w:rPr>
          <w:rFonts w:hint="default" w:ascii="Times New Roman" w:hAnsi="Times New Roman" w:cs="Times New Roman"/>
          <w:sz w:val="21"/>
          <w:szCs w:val="21"/>
        </w:rPr>
        <w:fldChar w:fldCharType="end"/>
      </w:r>
      <w:r>
        <w:rPr>
          <w:rFonts w:hint="eastAsia" w:cs="Times New Roman"/>
          <w:sz w:val="21"/>
          <w:szCs w:val="21"/>
          <w:lang w:val="en-US" w:eastAsia="zh-CN"/>
        </w:rPr>
        <w:t>...............................................23</w:t>
      </w:r>
    </w:p>
    <w:p>
      <w:pPr>
        <w:pStyle w:val="11"/>
        <w:keepNext w:val="0"/>
        <w:keepLines w:val="0"/>
        <w:pageBreakBefore w:val="0"/>
        <w:tabs>
          <w:tab w:val="right" w:leader="dot" w:pos="8306"/>
        </w:tabs>
        <w:kinsoku/>
        <w:wordWrap/>
        <w:overflowPunct/>
        <w:topLinePunct w:val="0"/>
        <w:autoSpaceDE/>
        <w:autoSpaceDN/>
        <w:bidi w:val="0"/>
        <w:adjustRightInd/>
        <w:snapToGrid/>
        <w:spacing w:beforeLines="0" w:afterLines="0" w:line="240" w:lineRule="auto"/>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_Toc25150 </w:instrText>
      </w:r>
      <w:r>
        <w:rPr>
          <w:rFonts w:hint="default" w:ascii="Times New Roman" w:hAnsi="Times New Roman" w:cs="Times New Roman"/>
          <w:sz w:val="21"/>
          <w:szCs w:val="21"/>
        </w:rPr>
        <w:fldChar w:fldCharType="separate"/>
      </w:r>
      <w:r>
        <w:rPr>
          <w:rFonts w:hint="default" w:ascii="Times New Roman" w:hAnsi="Times New Roman" w:cs="Times New Roman"/>
          <w:bCs w:val="0"/>
          <w:sz w:val="21"/>
          <w:szCs w:val="21"/>
          <w:lang w:val="en-US" w:eastAsia="zh-CN"/>
        </w:rPr>
        <w:t>7</w:t>
      </w:r>
      <w:r>
        <w:rPr>
          <w:rFonts w:hint="default" w:ascii="Times New Roman" w:hAnsi="Times New Roman" w:cs="Times New Roman"/>
          <w:sz w:val="21"/>
          <w:szCs w:val="21"/>
          <w:lang w:val="en-US" w:eastAsia="zh-CN"/>
        </w:rPr>
        <w:t xml:space="preserve">  </w:t>
      </w:r>
      <w:r>
        <w:rPr>
          <w:rFonts w:hint="eastAsia" w:cs="Times New Roman"/>
          <w:kern w:val="2"/>
          <w:sz w:val="21"/>
          <w:szCs w:val="21"/>
          <w:lang w:val="en-US" w:eastAsia="zh-CN" w:bidi="ar-SA"/>
        </w:rPr>
        <w:t>Inspection</w:t>
      </w:r>
      <w:r>
        <w:rPr>
          <w:rFonts w:hint="eastAsia" w:ascii="Times New Roman" w:hAnsi="Times New Roman" w:eastAsia="宋体" w:cs="Times New Roman"/>
          <w:kern w:val="2"/>
          <w:sz w:val="21"/>
          <w:szCs w:val="21"/>
          <w:lang w:val="en-US" w:eastAsia="zh-CN" w:bidi="ar-SA"/>
        </w:rPr>
        <w:t xml:space="preserve"> and Acceptance</w:t>
      </w:r>
      <w:r>
        <w:rPr>
          <w:rFonts w:hint="default" w:ascii="Times New Roman" w:hAnsi="Times New Roman" w:eastAsia="宋体" w:cs="Times New Roman"/>
          <w:kern w:val="2"/>
          <w:sz w:val="21"/>
          <w:szCs w:val="21"/>
          <w:lang w:val="en-US" w:eastAsia="zh-CN" w:bidi="ar-SA"/>
        </w:rPr>
        <w:t> </w:t>
      </w:r>
      <w:r>
        <w:rPr>
          <w:rFonts w:hint="eastAsia" w:ascii="Times New Roman" w:hAnsi="Times New Roman" w:cs="Times New Roman"/>
          <w:kern w:val="2"/>
          <w:sz w:val="21"/>
          <w:szCs w:val="21"/>
          <w:lang w:val="en-US" w:eastAsia="zh-CN" w:bidi="ar-SA"/>
        </w:rPr>
        <w:t>.........</w:t>
      </w:r>
      <w:r>
        <w:rPr>
          <w:rFonts w:hint="default" w:ascii="Times New Roman" w:hAnsi="Times New Roman" w:cs="Times New Roman"/>
          <w:sz w:val="21"/>
          <w:szCs w:val="21"/>
        </w:rPr>
        <w:fldChar w:fldCharType="end"/>
      </w:r>
      <w:r>
        <w:rPr>
          <w:rFonts w:hint="eastAsia" w:cs="Times New Roman"/>
          <w:sz w:val="21"/>
          <w:szCs w:val="21"/>
          <w:lang w:val="en-US" w:eastAsia="zh-CN"/>
        </w:rPr>
        <w:t>.............................................25</w:t>
      </w:r>
    </w:p>
    <w:p>
      <w:pPr>
        <w:pStyle w:val="11"/>
        <w:keepNext w:val="0"/>
        <w:keepLines w:val="0"/>
        <w:pageBreakBefore w:val="0"/>
        <w:tabs>
          <w:tab w:val="right" w:leader="dot" w:pos="8306"/>
        </w:tabs>
        <w:kinsoku/>
        <w:wordWrap/>
        <w:overflowPunct/>
        <w:topLinePunct w:val="0"/>
        <w:autoSpaceDE/>
        <w:autoSpaceDN/>
        <w:bidi w:val="0"/>
        <w:adjustRightInd/>
        <w:snapToGrid/>
        <w:spacing w:beforeLines="0" w:afterLines="0" w:line="240" w:lineRule="auto"/>
        <w:jc w:val="center"/>
        <w:textAlignment w:val="auto"/>
        <w:rPr>
          <w:rFonts w:hint="default" w:ascii="Times New Roman" w:hAnsi="Times New Roman" w:eastAsia="宋体" w:cs="Times New Roman"/>
          <w:kern w:val="2"/>
          <w:sz w:val="21"/>
          <w:szCs w:val="21"/>
          <w:lang w:val="en-US" w:eastAsia="zh-CN" w:bidi="ar-SA"/>
        </w:rPr>
      </w:pPr>
      <w:r>
        <w:rPr>
          <w:rFonts w:hint="default" w:ascii="Times New Roman" w:hAnsi="Times New Roman" w:eastAsia="宋体" w:cs="Times New Roman"/>
          <w:kern w:val="2"/>
          <w:sz w:val="21"/>
          <w:szCs w:val="21"/>
          <w:lang w:val="en-US" w:eastAsia="zh-CN" w:bidi="ar-SA"/>
        </w:rPr>
        <w:fldChar w:fldCharType="begin"/>
      </w:r>
      <w:r>
        <w:rPr>
          <w:rFonts w:hint="default" w:ascii="Times New Roman" w:hAnsi="Times New Roman" w:eastAsia="宋体" w:cs="Times New Roman"/>
          <w:kern w:val="2"/>
          <w:sz w:val="21"/>
          <w:szCs w:val="21"/>
          <w:lang w:val="en-US" w:eastAsia="zh-CN" w:bidi="ar-SA"/>
        </w:rPr>
        <w:instrText xml:space="preserve"> HYPERLINK \l _Toc15189 </w:instrText>
      </w:r>
      <w:r>
        <w:rPr>
          <w:rFonts w:hint="default" w:ascii="Times New Roman" w:hAnsi="Times New Roman" w:eastAsia="宋体" w:cs="Times New Roman"/>
          <w:kern w:val="2"/>
          <w:sz w:val="21"/>
          <w:szCs w:val="21"/>
          <w:lang w:val="en-US" w:eastAsia="zh-CN" w:bidi="ar-SA"/>
        </w:rPr>
        <w:fldChar w:fldCharType="separate"/>
      </w:r>
      <w:r>
        <w:rPr>
          <w:rFonts w:hint="eastAsia" w:ascii="Times New Roman" w:hAnsi="Times New Roman" w:eastAsia="宋体" w:cs="Times New Roman"/>
          <w:kern w:val="2"/>
          <w:sz w:val="21"/>
          <w:szCs w:val="21"/>
          <w:lang w:val="en-US" w:eastAsia="zh-CN" w:bidi="ar-SA"/>
        </w:rPr>
        <w:t xml:space="preserve">Appendix A </w:t>
      </w:r>
      <w:r>
        <w:rPr>
          <w:rFonts w:hint="eastAsia" w:cs="Times New Roman"/>
          <w:kern w:val="2"/>
          <w:sz w:val="21"/>
          <w:szCs w:val="21"/>
          <w:lang w:val="en-US" w:eastAsia="zh-CN" w:bidi="ar-SA"/>
        </w:rPr>
        <w:t xml:space="preserve"> </w:t>
      </w:r>
      <w:r>
        <w:rPr>
          <w:rFonts w:hint="eastAsia" w:ascii="Times New Roman" w:hAnsi="Times New Roman" w:eastAsia="宋体" w:cs="Times New Roman"/>
          <w:kern w:val="2"/>
          <w:sz w:val="21"/>
          <w:szCs w:val="21"/>
          <w:lang w:val="en-US" w:eastAsia="zh-CN" w:bidi="ar-SA"/>
        </w:rPr>
        <w:t>Construction Record Sheet</w:t>
      </w:r>
      <w:r>
        <w:rPr>
          <w:rFonts w:hint="default" w:ascii="Times New Roman" w:hAnsi="Times New Roman" w:eastAsia="宋体" w:cs="Times New Roman"/>
          <w:kern w:val="2"/>
          <w:sz w:val="21"/>
          <w:szCs w:val="21"/>
          <w:lang w:val="en-US" w:eastAsia="zh-CN" w:bidi="ar-SA"/>
        </w:rPr>
        <w:fldChar w:fldCharType="end"/>
      </w:r>
      <w:r>
        <w:rPr>
          <w:rFonts w:hint="eastAsia" w:ascii="Times New Roman" w:hAnsi="Times New Roman" w:eastAsia="宋体" w:cs="Times New Roman"/>
          <w:kern w:val="2"/>
          <w:sz w:val="21"/>
          <w:szCs w:val="21"/>
          <w:lang w:val="en-US" w:eastAsia="zh-CN" w:bidi="ar-SA"/>
        </w:rPr>
        <w:t xml:space="preserve"> of </w:t>
      </w:r>
      <w:r>
        <w:rPr>
          <w:rFonts w:hint="eastAsia" w:cs="Times New Roman"/>
          <w:kern w:val="2"/>
          <w:sz w:val="21"/>
          <w:szCs w:val="21"/>
          <w:lang w:val="en-US" w:eastAsia="zh-CN" w:bidi="ar-SA"/>
        </w:rPr>
        <w:t>Removal Pile..........27</w:t>
      </w:r>
    </w:p>
    <w:p>
      <w:pPr>
        <w:pStyle w:val="11"/>
        <w:keepNext w:val="0"/>
        <w:keepLines w:val="0"/>
        <w:pageBreakBefore w:val="0"/>
        <w:widowControl w:val="0"/>
        <w:tabs>
          <w:tab w:val="right" w:leader="dot" w:pos="8306"/>
        </w:tabs>
        <w:kinsoku/>
        <w:wordWrap/>
        <w:overflowPunct/>
        <w:topLinePunct w:val="0"/>
        <w:autoSpaceDE/>
        <w:autoSpaceDN/>
        <w:bidi w:val="0"/>
        <w:adjustRightInd/>
        <w:snapToGrid/>
        <w:spacing w:beforeLines="0" w:afterLines="0" w:line="240" w:lineRule="auto"/>
        <w:jc w:val="right"/>
        <w:textAlignment w:val="auto"/>
        <w:rPr>
          <w:rFonts w:hint="default" w:ascii="Times New Roman" w:hAnsi="Times New Roman" w:eastAsia="宋体" w:cs="Times New Roman"/>
          <w:sz w:val="21"/>
          <w:szCs w:val="21"/>
          <w:lang w:val="en-US" w:eastAsia="zh-CN"/>
        </w:rPr>
      </w:pPr>
      <w:r>
        <w:rPr>
          <w:rFonts w:hint="default" w:ascii="Times New Roman" w:hAnsi="Times New Roman" w:cs="Times New Roman"/>
          <w:sz w:val="21"/>
          <w:szCs w:val="21"/>
        </w:rPr>
        <w:fldChar w:fldCharType="begin"/>
      </w:r>
      <w:r>
        <w:rPr>
          <w:rFonts w:hint="default" w:ascii="Times New Roman" w:hAnsi="Times New Roman" w:cs="Times New Roman"/>
          <w:sz w:val="21"/>
          <w:szCs w:val="21"/>
        </w:rPr>
        <w:instrText xml:space="preserve"> HYPERLINK \l _Toc2700 </w:instrText>
      </w:r>
      <w:r>
        <w:rPr>
          <w:rFonts w:hint="default" w:ascii="Times New Roman" w:hAnsi="Times New Roman" w:cs="Times New Roman"/>
          <w:sz w:val="21"/>
          <w:szCs w:val="21"/>
        </w:rPr>
        <w:fldChar w:fldCharType="separate"/>
      </w:r>
      <w:r>
        <w:rPr>
          <w:rFonts w:hint="default" w:ascii="Times New Roman" w:hAnsi="Times New Roman" w:cs="Times New Roman"/>
          <w:sz w:val="21"/>
          <w:szCs w:val="21"/>
        </w:rPr>
        <w:t xml:space="preserve">Explanation of Wording in This </w:t>
      </w:r>
      <w:r>
        <w:rPr>
          <w:rFonts w:hint="eastAsia" w:ascii="Times New Roman" w:hAnsi="Times New Roman" w:cs="Times New Roman"/>
          <w:sz w:val="21"/>
          <w:szCs w:val="21"/>
          <w:lang w:val="en-US" w:eastAsia="zh-CN"/>
        </w:rPr>
        <w:t>Standard</w:t>
      </w:r>
      <w:r>
        <w:rPr>
          <w:rFonts w:hint="default" w:ascii="Times New Roman" w:hAnsi="Times New Roman" w:cs="Times New Roman"/>
          <w:sz w:val="21"/>
          <w:szCs w:val="21"/>
        </w:rPr>
        <w:fldChar w:fldCharType="end"/>
      </w:r>
      <w:r>
        <w:rPr>
          <w:rFonts w:hint="eastAsia" w:ascii="Times New Roman" w:hAnsi="Times New Roman" w:cs="Times New Roman"/>
          <w:sz w:val="21"/>
          <w:szCs w:val="21"/>
          <w:lang w:val="en-US" w:eastAsia="zh-CN"/>
        </w:rPr>
        <w:t>.......</w:t>
      </w:r>
      <w:r>
        <w:rPr>
          <w:rFonts w:hint="eastAsia" w:cs="Times New Roman"/>
          <w:sz w:val="21"/>
          <w:szCs w:val="21"/>
          <w:lang w:val="en-US" w:eastAsia="zh-CN"/>
        </w:rPr>
        <w:t>...............................30</w:t>
      </w:r>
    </w:p>
    <w:p>
      <w:pPr>
        <w:keepNext w:val="0"/>
        <w:keepLines w:val="0"/>
        <w:pageBreakBefore w:val="0"/>
        <w:kinsoku/>
        <w:wordWrap/>
        <w:overflowPunct/>
        <w:topLinePunct w:val="0"/>
        <w:autoSpaceDE/>
        <w:autoSpaceDN/>
        <w:bidi w:val="0"/>
        <w:adjustRightInd/>
        <w:snapToGrid/>
        <w:spacing w:beforeLines="0" w:afterLines="0" w:line="240" w:lineRule="auto"/>
        <w:jc w:val="right"/>
        <w:textAlignment w:val="auto"/>
        <w:rPr>
          <w:rFonts w:hint="default"/>
          <w:sz w:val="21"/>
          <w:szCs w:val="21"/>
          <w:lang w:val="en-US"/>
        </w:rPr>
      </w:pPr>
      <w:r>
        <w:rPr>
          <w:rFonts w:hint="default" w:ascii="Times New Roman" w:hAnsi="Times New Roman" w:eastAsia="宋体" w:cs="Times New Roman"/>
          <w:kern w:val="2"/>
          <w:sz w:val="21"/>
          <w:szCs w:val="21"/>
          <w:lang w:val="en-US" w:eastAsia="zh-CN" w:bidi="ar-SA"/>
        </w:rPr>
        <w:t xml:space="preserve">List of </w:t>
      </w:r>
      <w:r>
        <w:rPr>
          <w:rFonts w:hint="eastAsia" w:ascii="Times New Roman" w:hAnsi="Times New Roman" w:eastAsia="宋体" w:cs="Times New Roman"/>
          <w:kern w:val="2"/>
          <w:sz w:val="21"/>
          <w:szCs w:val="21"/>
          <w:lang w:val="en-US" w:eastAsia="zh-CN" w:bidi="ar-SA"/>
        </w:rPr>
        <w:t>Reference</w:t>
      </w:r>
      <w:r>
        <w:rPr>
          <w:rFonts w:hint="default" w:ascii="Times New Roman" w:hAnsi="Times New Roman" w:eastAsia="宋体" w:cs="Times New Roman"/>
          <w:kern w:val="2"/>
          <w:sz w:val="21"/>
          <w:szCs w:val="21"/>
          <w:lang w:val="en-US" w:eastAsia="zh-CN" w:bidi="ar-SA"/>
        </w:rPr>
        <w:t xml:space="preserve"> </w:t>
      </w:r>
      <w:r>
        <w:rPr>
          <w:rFonts w:hint="eastAsia" w:ascii="Times New Roman" w:hAnsi="Times New Roman" w:eastAsia="宋体" w:cs="Times New Roman"/>
          <w:kern w:val="2"/>
          <w:sz w:val="21"/>
          <w:szCs w:val="21"/>
          <w:lang w:val="en-US" w:eastAsia="zh-CN" w:bidi="ar-SA"/>
        </w:rPr>
        <w:t>S</w:t>
      </w:r>
      <w:r>
        <w:rPr>
          <w:rFonts w:hint="default" w:ascii="Times New Roman" w:hAnsi="Times New Roman" w:eastAsia="宋体" w:cs="Times New Roman"/>
          <w:kern w:val="2"/>
          <w:sz w:val="21"/>
          <w:szCs w:val="21"/>
          <w:lang w:val="en-US" w:eastAsia="zh-CN" w:bidi="ar-SA"/>
        </w:rPr>
        <w:t>tandards</w:t>
      </w:r>
      <w:r>
        <w:rPr>
          <w:rFonts w:hint="eastAsia" w:cs="Times New Roman"/>
          <w:kern w:val="2"/>
          <w:sz w:val="21"/>
          <w:szCs w:val="21"/>
          <w:lang w:val="en-US" w:eastAsia="zh-CN" w:bidi="ar-SA"/>
        </w:rPr>
        <w:t>...........................................................31</w:t>
      </w:r>
    </w:p>
    <w:p>
      <w:pPr>
        <w:keepNext w:val="0"/>
        <w:keepLines w:val="0"/>
        <w:pageBreakBefore w:val="0"/>
        <w:kinsoku/>
        <w:wordWrap/>
        <w:overflowPunct/>
        <w:topLinePunct w:val="0"/>
        <w:autoSpaceDE/>
        <w:autoSpaceDN/>
        <w:bidi w:val="0"/>
        <w:adjustRightInd/>
        <w:snapToGrid/>
        <w:spacing w:beforeLines="0" w:afterLines="0" w:line="240" w:lineRule="auto"/>
        <w:jc w:val="right"/>
        <w:textAlignment w:val="auto"/>
        <w:rPr>
          <w:rFonts w:hint="default" w:eastAsia="宋体"/>
          <w:color w:val="323232" w:themeColor="text1"/>
          <w:lang w:val="en-US" w:eastAsia="zh-CN"/>
          <w14:textFill>
            <w14:solidFill>
              <w14:schemeClr w14:val="tx1"/>
            </w14:solidFill>
          </w14:textFill>
        </w:rPr>
        <w:sectPr>
          <w:footerReference r:id="rId4" w:type="default"/>
          <w:pgSz w:w="7937" w:h="11906"/>
          <w:pgMar w:top="1134" w:right="1134" w:bottom="1134" w:left="1134" w:header="851" w:footer="992" w:gutter="0"/>
          <w:pgNumType w:fmt="decimal"/>
          <w:cols w:space="0" w:num="1"/>
          <w:docGrid w:type="lines" w:linePitch="312" w:charSpace="0"/>
        </w:sectPr>
      </w:pPr>
      <w:r>
        <w:rPr>
          <w:rStyle w:val="20"/>
          <w:rFonts w:hint="eastAsia"/>
          <w:b w:val="0"/>
          <w:caps w:val="0"/>
          <w:sz w:val="21"/>
          <w:szCs w:val="21"/>
        </w:rPr>
        <w:t xml:space="preserve">Addition：Explanation of </w:t>
      </w:r>
      <w:r>
        <w:rPr>
          <w:rStyle w:val="20"/>
          <w:rFonts w:hint="eastAsia"/>
          <w:b w:val="0"/>
          <w:caps w:val="0"/>
          <w:sz w:val="21"/>
          <w:szCs w:val="21"/>
          <w:lang w:val="en-US" w:eastAsia="zh-CN"/>
        </w:rPr>
        <w:t>P</w:t>
      </w:r>
      <w:r>
        <w:rPr>
          <w:rStyle w:val="20"/>
          <w:rFonts w:hint="eastAsia"/>
          <w:b w:val="0"/>
          <w:caps w:val="0"/>
          <w:sz w:val="21"/>
          <w:szCs w:val="21"/>
        </w:rPr>
        <w:t>rovisions</w:t>
      </w:r>
      <w:r>
        <w:rPr>
          <w:rStyle w:val="20"/>
          <w:rFonts w:hint="eastAsia"/>
          <w:b w:val="0"/>
          <w:caps w:val="0"/>
          <w:sz w:val="21"/>
          <w:szCs w:val="21"/>
          <w:lang w:val="en-US" w:eastAsia="zh-CN"/>
        </w:rPr>
        <w:t>............................</w:t>
      </w:r>
      <w:r>
        <w:rPr>
          <w:rFonts w:hint="default" w:ascii="Times New Roman" w:hAnsi="Times New Roman" w:cs="Times New Roman"/>
          <w:sz w:val="21"/>
          <w:szCs w:val="21"/>
        </w:rPr>
        <w:fldChar w:fldCharType="end"/>
      </w:r>
      <w:r>
        <w:rPr>
          <w:rFonts w:hint="eastAsia" w:cs="Times New Roman"/>
          <w:sz w:val="21"/>
          <w:szCs w:val="21"/>
          <w:lang w:val="en-US" w:eastAsia="zh-CN"/>
        </w:rPr>
        <w:t>.................32</w:t>
      </w:r>
    </w:p>
    <w:p>
      <w:pPr>
        <w:keepNext/>
        <w:keepLines/>
        <w:pageBreakBefore w:val="0"/>
        <w:adjustRightInd w:val="0"/>
        <w:snapToGrid w:val="0"/>
        <w:spacing w:before="340" w:beforeLines="0" w:after="330" w:afterLines="0" w:line="240" w:lineRule="auto"/>
        <w:jc w:val="center"/>
        <w:outlineLvl w:val="0"/>
        <w:rPr>
          <w:rFonts w:eastAsia="黑体"/>
          <w:color w:val="323232" w:themeColor="text1"/>
          <w:sz w:val="32"/>
          <w:szCs w:val="32"/>
          <w14:textFill>
            <w14:solidFill>
              <w14:schemeClr w14:val="tx1"/>
            </w14:solidFill>
          </w14:textFill>
        </w:rPr>
      </w:pPr>
      <w:bookmarkStart w:id="298" w:name="_Toc23302"/>
      <w:bookmarkStart w:id="299" w:name="_Toc7587"/>
      <w:bookmarkStart w:id="300" w:name="_Toc25051"/>
      <w:r>
        <w:rPr>
          <w:color w:val="323232" w:themeColor="text1"/>
          <w14:textFill>
            <w14:solidFill>
              <w14:schemeClr w14:val="tx1"/>
            </w14:solidFill>
          </w14:textFill>
        </w:rPr>
        <w:fldChar w:fldCharType="end"/>
      </w:r>
      <w:bookmarkStart w:id="301" w:name="_Toc31226"/>
      <w:bookmarkStart w:id="302" w:name="_Toc1771"/>
      <w:bookmarkStart w:id="303" w:name="_Toc21009"/>
      <w:r>
        <w:rPr>
          <w:rFonts w:eastAsia="黑体"/>
          <w:b/>
          <w:bCs/>
          <w:color w:val="323232" w:themeColor="text1"/>
          <w:sz w:val="32"/>
          <w:szCs w:val="32"/>
          <w14:textFill>
            <w14:solidFill>
              <w14:schemeClr w14:val="tx1"/>
            </w14:solidFill>
          </w14:textFill>
        </w:rPr>
        <w:t xml:space="preserve">1 </w:t>
      </w:r>
      <w:r>
        <w:rPr>
          <w:rFonts w:eastAsia="黑体"/>
          <w:color w:val="323232" w:themeColor="text1"/>
          <w:sz w:val="32"/>
          <w:szCs w:val="32"/>
          <w14:textFill>
            <w14:solidFill>
              <w14:schemeClr w14:val="tx1"/>
            </w14:solidFill>
          </w14:textFill>
        </w:rPr>
        <w:t xml:space="preserve"> 总  则</w:t>
      </w:r>
      <w:bookmarkEnd w:id="293"/>
      <w:bookmarkEnd w:id="294"/>
      <w:bookmarkEnd w:id="298"/>
      <w:bookmarkEnd w:id="299"/>
      <w:bookmarkEnd w:id="300"/>
      <w:bookmarkEnd w:id="301"/>
      <w:bookmarkEnd w:id="302"/>
      <w:bookmarkEnd w:id="303"/>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1.0.1</w:t>
      </w:r>
      <w:r>
        <w:rPr>
          <w:color w:val="323232" w:themeColor="text1"/>
          <w:szCs w:val="21"/>
          <w14:textFill>
            <w14:solidFill>
              <w14:schemeClr w14:val="tx1"/>
            </w14:solidFill>
          </w14:textFill>
        </w:rPr>
        <w:t xml:space="preserve">  为了规范</w:t>
      </w:r>
      <w:r>
        <w:rPr>
          <w:rFonts w:hint="eastAsia"/>
          <w:color w:val="323232" w:themeColor="text1"/>
          <w:szCs w:val="21"/>
          <w14:textFill>
            <w14:solidFill>
              <w14:schemeClr w14:val="tx1"/>
            </w14:solidFill>
          </w14:textFill>
        </w:rPr>
        <w:t>既有桩基清除作业</w:t>
      </w:r>
      <w:r>
        <w:rPr>
          <w:color w:val="323232" w:themeColor="text1"/>
          <w:szCs w:val="21"/>
          <w14:textFill>
            <w14:solidFill>
              <w14:schemeClr w14:val="tx1"/>
            </w14:solidFill>
          </w14:textFill>
        </w:rPr>
        <w:t>，做到安全适用、技术先进、经济合理、确保质量、保护环境，制定本</w:t>
      </w:r>
      <w:r>
        <w:rPr>
          <w:rFonts w:hint="eastAsia"/>
          <w:color w:val="323232" w:themeColor="text1"/>
          <w:szCs w:val="21"/>
          <w14:textFill>
            <w14:solidFill>
              <w14:schemeClr w14:val="tx1"/>
            </w14:solidFill>
          </w14:textFill>
        </w:rPr>
        <w:t>标准</w:t>
      </w:r>
      <w:r>
        <w:rPr>
          <w:color w:val="323232" w:themeColor="text1"/>
          <w:szCs w:val="21"/>
          <w14:textFill>
            <w14:solidFill>
              <w14:schemeClr w14:val="tx1"/>
            </w14:solidFill>
          </w14:textFill>
        </w:rPr>
        <w:t>。</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1.0.2</w:t>
      </w:r>
      <w:r>
        <w:rPr>
          <w:color w:val="323232" w:themeColor="text1"/>
          <w:szCs w:val="21"/>
          <w14:textFill>
            <w14:solidFill>
              <w14:schemeClr w14:val="tx1"/>
            </w14:solidFill>
          </w14:textFill>
        </w:rPr>
        <w:t xml:space="preserve">  本</w:t>
      </w:r>
      <w:r>
        <w:rPr>
          <w:rFonts w:hint="eastAsia"/>
          <w:color w:val="323232" w:themeColor="text1"/>
          <w:szCs w:val="21"/>
          <w14:textFill>
            <w14:solidFill>
              <w14:schemeClr w14:val="tx1"/>
            </w14:solidFill>
          </w14:textFill>
        </w:rPr>
        <w:t>标准</w:t>
      </w:r>
      <w:r>
        <w:rPr>
          <w:color w:val="323232" w:themeColor="text1"/>
          <w:szCs w:val="21"/>
          <w14:textFill>
            <w14:solidFill>
              <w14:schemeClr w14:val="tx1"/>
            </w14:solidFill>
          </w14:textFill>
        </w:rPr>
        <w:t>适用于</w:t>
      </w:r>
      <w:r>
        <w:rPr>
          <w:rFonts w:hint="eastAsia"/>
          <w:color w:val="323232" w:themeColor="text1"/>
          <w:szCs w:val="21"/>
          <w14:textFill>
            <w14:solidFill>
              <w14:schemeClr w14:val="tx1"/>
            </w14:solidFill>
          </w14:textFill>
        </w:rPr>
        <w:t>建筑</w:t>
      </w:r>
      <w:r>
        <w:rPr>
          <w:color w:val="323232" w:themeColor="text1"/>
          <w:szCs w:val="21"/>
          <w14:textFill>
            <w14:solidFill>
              <w14:schemeClr w14:val="tx1"/>
            </w14:solidFill>
          </w14:textFill>
        </w:rPr>
        <w:t>和市政工程</w:t>
      </w:r>
      <w:r>
        <w:rPr>
          <w:rFonts w:hint="eastAsia"/>
          <w:color w:val="323232" w:themeColor="text1"/>
          <w:szCs w:val="21"/>
          <w14:textFill>
            <w14:solidFill>
              <w14:schemeClr w14:val="tx1"/>
            </w14:solidFill>
          </w14:textFill>
        </w:rPr>
        <w:t>中既有桩基清除作业的工程勘察</w:t>
      </w:r>
      <w:r>
        <w:rPr>
          <w:color w:val="323232" w:themeColor="text1"/>
          <w:szCs w:val="21"/>
          <w14:textFill>
            <w14:solidFill>
              <w14:schemeClr w14:val="tx1"/>
            </w14:solidFill>
          </w14:textFill>
        </w:rPr>
        <w:t>、</w:t>
      </w:r>
      <w:r>
        <w:rPr>
          <w:rFonts w:hint="eastAsia"/>
          <w:color w:val="323232" w:themeColor="text1"/>
          <w:szCs w:val="21"/>
          <w14:textFill>
            <w14:solidFill>
              <w14:schemeClr w14:val="tx1"/>
            </w14:solidFill>
          </w14:textFill>
        </w:rPr>
        <w:t>方案制定</w:t>
      </w:r>
      <w:r>
        <w:rPr>
          <w:color w:val="323232" w:themeColor="text1"/>
          <w:szCs w:val="21"/>
          <w14:textFill>
            <w14:solidFill>
              <w14:schemeClr w14:val="tx1"/>
            </w14:solidFill>
          </w14:textFill>
        </w:rPr>
        <w:t>、施工、</w:t>
      </w:r>
      <w:r>
        <w:rPr>
          <w:rFonts w:hint="eastAsia"/>
          <w:color w:val="323232" w:themeColor="text1"/>
          <w:szCs w:val="21"/>
          <w14:textFill>
            <w14:solidFill>
              <w14:schemeClr w14:val="tx1"/>
            </w14:solidFill>
          </w14:textFill>
        </w:rPr>
        <w:t>检验与验收</w:t>
      </w:r>
      <w:r>
        <w:rPr>
          <w:color w:val="323232" w:themeColor="text1"/>
          <w:szCs w:val="21"/>
          <w14:textFill>
            <w14:solidFill>
              <w14:schemeClr w14:val="tx1"/>
            </w14:solidFill>
          </w14:textFill>
        </w:rPr>
        <w:t>。</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1.0.3</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既有桩基的清除应根据清除目的及要求、场地地质条件、既有桩基类型、施工技术条件、周边环境并结合地方经验合理选择清除方法。</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1.0.4 </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既有桩基清除作业</w:t>
      </w:r>
      <w:r>
        <w:rPr>
          <w:color w:val="323232" w:themeColor="text1"/>
          <w:szCs w:val="21"/>
          <w14:textFill>
            <w14:solidFill>
              <w14:schemeClr w14:val="tx1"/>
            </w14:solidFill>
          </w14:textFill>
        </w:rPr>
        <w:t>除应符合本</w:t>
      </w:r>
      <w:r>
        <w:rPr>
          <w:rFonts w:hint="eastAsia"/>
          <w:color w:val="323232" w:themeColor="text1"/>
          <w:szCs w:val="21"/>
          <w14:textFill>
            <w14:solidFill>
              <w14:schemeClr w14:val="tx1"/>
            </w14:solidFill>
          </w14:textFill>
        </w:rPr>
        <w:t>标准</w:t>
      </w:r>
      <w:r>
        <w:rPr>
          <w:color w:val="323232" w:themeColor="text1"/>
          <w:szCs w:val="21"/>
          <w14:textFill>
            <w14:solidFill>
              <w14:schemeClr w14:val="tx1"/>
            </w14:solidFill>
          </w14:textFill>
        </w:rPr>
        <w:t>的规定外，尚应符合现行国家、行业及福建省地方</w:t>
      </w:r>
      <w:r>
        <w:rPr>
          <w:rFonts w:hint="eastAsia"/>
          <w:color w:val="323232" w:themeColor="text1"/>
          <w:szCs w:val="21"/>
          <w14:textFill>
            <w14:solidFill>
              <w14:schemeClr w14:val="tx1"/>
            </w14:solidFill>
          </w14:textFill>
        </w:rPr>
        <w:t>现行有关标准的规定</w:t>
      </w:r>
      <w:r>
        <w:rPr>
          <w:color w:val="323232" w:themeColor="text1"/>
          <w:szCs w:val="21"/>
          <w14:textFill>
            <w14:solidFill>
              <w14:schemeClr w14:val="tx1"/>
            </w14:solidFill>
          </w14:textFill>
        </w:rPr>
        <w:t>。</w:t>
      </w:r>
    </w:p>
    <w:p>
      <w:pPr>
        <w:spacing w:line="360" w:lineRule="auto"/>
        <w:rPr>
          <w:color w:val="323232" w:themeColor="text1"/>
          <w:sz w:val="24"/>
          <w14:textFill>
            <w14:solidFill>
              <w14:schemeClr w14:val="tx1"/>
            </w14:solidFill>
          </w14:textFill>
        </w:rPr>
      </w:pPr>
    </w:p>
    <w:p>
      <w:pPr>
        <w:spacing w:line="360" w:lineRule="auto"/>
        <w:rPr>
          <w:color w:val="323232" w:themeColor="text1"/>
          <w:sz w:val="24"/>
          <w14:textFill>
            <w14:solidFill>
              <w14:schemeClr w14:val="tx1"/>
            </w14:solidFill>
          </w14:textFill>
        </w:rPr>
        <w:sectPr>
          <w:footerReference r:id="rId5" w:type="default"/>
          <w:pgSz w:w="7937" w:h="11906"/>
          <w:pgMar w:top="1134" w:right="1134" w:bottom="1134" w:left="1134" w:header="851" w:footer="992" w:gutter="0"/>
          <w:pgNumType w:fmt="decimal" w:start="1"/>
          <w:cols w:space="0" w:num="1"/>
          <w:docGrid w:type="lines" w:linePitch="312" w:charSpace="0"/>
        </w:sectPr>
      </w:pPr>
    </w:p>
    <w:p>
      <w:pPr>
        <w:pStyle w:val="2"/>
        <w:pageBreakBefore/>
        <w:rPr>
          <w:rFonts w:eastAsia="黑体"/>
          <w:b w:val="0"/>
          <w:color w:val="323232" w:themeColor="text1"/>
          <w:sz w:val="32"/>
          <w:szCs w:val="32"/>
          <w14:textFill>
            <w14:solidFill>
              <w14:schemeClr w14:val="tx1"/>
            </w14:solidFill>
          </w14:textFill>
        </w:rPr>
      </w:pPr>
      <w:bookmarkStart w:id="304" w:name="_Toc19980"/>
      <w:bookmarkStart w:id="305" w:name="_Toc24160"/>
      <w:bookmarkStart w:id="306" w:name="_Toc14740"/>
      <w:bookmarkStart w:id="307" w:name="_Toc20449"/>
      <w:bookmarkStart w:id="308" w:name="_Toc10399"/>
      <w:bookmarkStart w:id="309" w:name="_Toc16868"/>
      <w:bookmarkStart w:id="310" w:name="_Toc13451"/>
      <w:bookmarkStart w:id="311" w:name="_Toc9266"/>
      <w:bookmarkStart w:id="312" w:name="_Toc27493"/>
      <w:bookmarkStart w:id="313" w:name="_Toc8467"/>
      <w:bookmarkStart w:id="314" w:name="_Toc15711"/>
      <w:bookmarkStart w:id="315" w:name="_Toc26964"/>
      <w:r>
        <w:rPr>
          <w:rFonts w:hint="eastAsia" w:eastAsia="黑体"/>
          <w:b/>
          <w:bCs/>
          <w:color w:val="323232" w:themeColor="text1"/>
          <w:sz w:val="32"/>
          <w:szCs w:val="32"/>
          <w14:textFill>
            <w14:solidFill>
              <w14:schemeClr w14:val="tx1"/>
            </w14:solidFill>
          </w14:textFill>
        </w:rPr>
        <w:t xml:space="preserve">2 </w:t>
      </w:r>
      <w:r>
        <w:rPr>
          <w:rFonts w:hint="eastAsia" w:eastAsia="黑体"/>
          <w:b w:val="0"/>
          <w:color w:val="323232" w:themeColor="text1"/>
          <w:sz w:val="32"/>
          <w:szCs w:val="32"/>
          <w14:textFill>
            <w14:solidFill>
              <w14:schemeClr w14:val="tx1"/>
            </w14:solidFill>
          </w14:textFill>
        </w:rPr>
        <w:t xml:space="preserve"> 术语和符号</w:t>
      </w:r>
      <w:bookmarkEnd w:id="304"/>
      <w:bookmarkEnd w:id="305"/>
      <w:bookmarkEnd w:id="306"/>
      <w:bookmarkEnd w:id="307"/>
      <w:bookmarkEnd w:id="308"/>
      <w:bookmarkEnd w:id="309"/>
      <w:bookmarkEnd w:id="310"/>
      <w:bookmarkEnd w:id="311"/>
      <w:bookmarkEnd w:id="312"/>
      <w:bookmarkEnd w:id="313"/>
      <w:bookmarkEnd w:id="314"/>
      <w:bookmarkEnd w:id="315"/>
    </w:p>
    <w:p>
      <w:pPr>
        <w:pStyle w:val="3"/>
        <w:rPr>
          <w:rFonts w:ascii="Times New Roman" w:hAnsi="Times New Roman"/>
          <w:b w:val="0"/>
          <w:bCs/>
          <w:color w:val="323232" w:themeColor="text1"/>
          <w14:textFill>
            <w14:solidFill>
              <w14:schemeClr w14:val="tx1"/>
            </w14:solidFill>
          </w14:textFill>
        </w:rPr>
      </w:pPr>
      <w:bookmarkStart w:id="316" w:name="_Toc3540"/>
      <w:bookmarkStart w:id="317" w:name="_Toc26011"/>
      <w:bookmarkStart w:id="318" w:name="_Toc10772"/>
      <w:bookmarkStart w:id="319" w:name="_Toc26846"/>
      <w:bookmarkStart w:id="320" w:name="_Toc28089"/>
      <w:bookmarkStart w:id="321" w:name="_Toc1049"/>
      <w:bookmarkStart w:id="322" w:name="_Toc4273"/>
      <w:bookmarkStart w:id="323" w:name="_Toc22886"/>
      <w:bookmarkStart w:id="324" w:name="_Toc27277"/>
      <w:bookmarkStart w:id="325" w:name="_Toc13417"/>
      <w:bookmarkStart w:id="326" w:name="_Toc24377"/>
      <w:bookmarkStart w:id="327" w:name="_Toc9282"/>
      <w:r>
        <w:rPr>
          <w:rFonts w:ascii="Times New Roman" w:hAnsi="Times New Roman"/>
          <w:color w:val="323232" w:themeColor="text1"/>
          <w14:textFill>
            <w14:solidFill>
              <w14:schemeClr w14:val="tx1"/>
            </w14:solidFill>
          </w14:textFill>
        </w:rPr>
        <w:t xml:space="preserve">2.1 </w:t>
      </w:r>
      <w:r>
        <w:rPr>
          <w:rFonts w:hint="eastAsia" w:ascii="黑体" w:hAnsi="黑体" w:eastAsia="黑体" w:cs="黑体"/>
          <w:b w:val="0"/>
          <w:bCs/>
          <w:color w:val="000000"/>
        </w:rPr>
        <w:t xml:space="preserve"> 术 语</w:t>
      </w:r>
      <w:bookmarkEnd w:id="316"/>
      <w:bookmarkEnd w:id="317"/>
      <w:bookmarkEnd w:id="318"/>
      <w:bookmarkEnd w:id="319"/>
      <w:bookmarkEnd w:id="320"/>
      <w:bookmarkEnd w:id="321"/>
      <w:bookmarkEnd w:id="322"/>
      <w:bookmarkEnd w:id="323"/>
      <w:bookmarkEnd w:id="324"/>
      <w:bookmarkEnd w:id="325"/>
      <w:bookmarkEnd w:id="326"/>
      <w:bookmarkEnd w:id="327"/>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2.1.1  </w:t>
      </w:r>
      <w:r>
        <w:rPr>
          <w:rFonts w:hint="eastAsia"/>
          <w:color w:val="323232" w:themeColor="text1"/>
          <w:szCs w:val="21"/>
          <w14:textFill>
            <w14:solidFill>
              <w14:schemeClr w14:val="tx1"/>
            </w14:solidFill>
          </w14:textFill>
        </w:rPr>
        <w:t>既有桩基  existing pile foundation</w:t>
      </w:r>
    </w:p>
    <w:p>
      <w:pPr>
        <w:spacing w:line="360" w:lineRule="auto"/>
        <w:ind w:firstLine="420" w:firstLineChars="2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已经施工完成或部分完成的桩基础。</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2.1.2  </w:t>
      </w:r>
      <w:r>
        <w:rPr>
          <w:rFonts w:hint="eastAsia"/>
          <w:color w:val="323232" w:themeColor="text1"/>
          <w:szCs w:val="21"/>
          <w14:textFill>
            <w14:solidFill>
              <w14:schemeClr w14:val="tx1"/>
            </w14:solidFill>
          </w14:textFill>
        </w:rPr>
        <w:t xml:space="preserve">既有桩基清除  </w:t>
      </w:r>
      <w:r>
        <w:rPr>
          <w:rFonts w:hint="eastAsia"/>
          <w:bCs/>
          <w:color w:val="323232" w:themeColor="text1"/>
          <w:szCs w:val="21"/>
          <w14:textFill>
            <w14:solidFill>
              <w14:schemeClr w14:val="tx1"/>
            </w14:solidFill>
          </w14:textFill>
        </w:rPr>
        <w:t>r</w:t>
      </w:r>
      <w:r>
        <w:rPr>
          <w:bCs/>
          <w:color w:val="323232" w:themeColor="text1"/>
          <w:szCs w:val="21"/>
          <w14:textFill>
            <w14:solidFill>
              <w14:schemeClr w14:val="tx1"/>
            </w14:solidFill>
          </w14:textFill>
        </w:rPr>
        <w:t>emoval of existing pile foundation</w:t>
      </w:r>
    </w:p>
    <w:p>
      <w:pPr>
        <w:spacing w:line="360" w:lineRule="auto"/>
        <w:ind w:firstLine="420" w:firstLineChars="200"/>
      </w:pPr>
      <w:r>
        <w:rPr>
          <w:rFonts w:hint="eastAsia"/>
          <w:color w:val="323232" w:themeColor="text1"/>
          <w:szCs w:val="21"/>
          <w14:textFill>
            <w14:solidFill>
              <w14:schemeClr w14:val="tx1"/>
            </w14:solidFill>
          </w14:textFill>
        </w:rPr>
        <w:t>采用拔除或破碎等方法，对拟建工程场地或其附近存在对拟建工程施工有影响的既有桩基进行整片或局部清除。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2.1.3  </w:t>
      </w:r>
      <w:r>
        <w:rPr>
          <w:rFonts w:hint="eastAsia"/>
          <w:color w:val="323232" w:themeColor="text1"/>
          <w:szCs w:val="21"/>
          <w14:textFill>
            <w14:solidFill>
              <w14:schemeClr w14:val="tx1"/>
            </w14:solidFill>
          </w14:textFill>
        </w:rPr>
        <w:t>拔除法  e</w:t>
      </w:r>
      <w:r>
        <w:rPr>
          <w:color w:val="323232" w:themeColor="text1"/>
          <w:szCs w:val="21"/>
          <w14:textFill>
            <w14:solidFill>
              <w14:schemeClr w14:val="tx1"/>
            </w14:solidFill>
          </w14:textFill>
        </w:rPr>
        <w:t>xtraction method</w:t>
      </w:r>
    </w:p>
    <w:p>
      <w:pPr>
        <w:spacing w:line="360" w:lineRule="auto"/>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   将桩基作为整体或分段拔除的方法。</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2.1.4  </w:t>
      </w:r>
      <w:r>
        <w:rPr>
          <w:rFonts w:hint="eastAsia"/>
          <w:color w:val="323232" w:themeColor="text1"/>
          <w:szCs w:val="21"/>
          <w14:textFill>
            <w14:solidFill>
              <w14:schemeClr w14:val="tx1"/>
            </w14:solidFill>
          </w14:textFill>
        </w:rPr>
        <w:t>振动拔除法  v</w:t>
      </w:r>
      <w:r>
        <w:rPr>
          <w:color w:val="323232" w:themeColor="text1"/>
          <w:szCs w:val="21"/>
          <w14:textFill>
            <w14:solidFill>
              <w14:schemeClr w14:val="tx1"/>
            </w14:solidFill>
          </w14:textFill>
        </w:rPr>
        <w:t>ibration extraction method</w:t>
      </w:r>
    </w:p>
    <w:p>
      <w:pPr>
        <w:spacing w:line="360" w:lineRule="auto"/>
        <w:ind w:firstLine="48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利用振动锤产生的强迫振动扰动土质，破坏桩周土体的黏附力以克服拔桩阻力，然后利用吊车或机械手施加提升力实现拔桩的方法。</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2.1.5</w:t>
      </w:r>
      <w:r>
        <w:rPr>
          <w:rFonts w:hint="eastAsia"/>
          <w:color w:val="323232" w:themeColor="text1"/>
          <w:szCs w:val="21"/>
          <w14:textFill>
            <w14:solidFill>
              <w14:schemeClr w14:val="tx1"/>
            </w14:solidFill>
          </w14:textFill>
        </w:rPr>
        <w:t xml:space="preserve">  静力拔除法  s</w:t>
      </w:r>
      <w:r>
        <w:rPr>
          <w:color w:val="323232" w:themeColor="text1"/>
          <w:szCs w:val="21"/>
          <w14:textFill>
            <w14:solidFill>
              <w14:schemeClr w14:val="tx1"/>
            </w14:solidFill>
          </w14:textFill>
        </w:rPr>
        <w:t>tatic extraction method</w:t>
      </w:r>
    </w:p>
    <w:p>
      <w:pPr>
        <w:spacing w:line="360" w:lineRule="auto"/>
        <w:ind w:firstLine="48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利用吊车、机械手或专用反力平台提供的上拔力克服桩周阻力实现拔桩的方法。</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2.1.6 </w:t>
      </w:r>
      <w:r>
        <w:rPr>
          <w:rFonts w:hint="eastAsia"/>
          <w:color w:val="323232" w:themeColor="text1"/>
          <w:szCs w:val="21"/>
          <w14:textFill>
            <w14:solidFill>
              <w14:schemeClr w14:val="tx1"/>
            </w14:solidFill>
          </w14:textFill>
        </w:rPr>
        <w:t xml:space="preserve"> 减阻</w:t>
      </w:r>
      <w:r>
        <w:rPr>
          <w:rFonts w:hint="eastAsia"/>
          <w:color w:val="323232" w:themeColor="text1"/>
          <w:szCs w:val="21"/>
          <w:lang w:val="en-US" w:eastAsia="zh-CN"/>
          <w14:textFill>
            <w14:solidFill>
              <w14:schemeClr w14:val="tx1"/>
            </w14:solidFill>
          </w14:textFill>
        </w:rPr>
        <w:t>措施</w:t>
      </w:r>
      <w:r>
        <w:rPr>
          <w:rFonts w:hint="eastAsia"/>
          <w:color w:val="323232" w:themeColor="text1"/>
          <w:szCs w:val="21"/>
          <w14:textFill>
            <w14:solidFill>
              <w14:schemeClr w14:val="tx1"/>
            </w14:solidFill>
          </w14:textFill>
        </w:rPr>
        <w:t xml:space="preserve">  m</w:t>
      </w:r>
      <w:r>
        <w:rPr>
          <w:color w:val="323232" w:themeColor="text1"/>
          <w:szCs w:val="21"/>
          <w14:textFill>
            <w14:solidFill>
              <w14:schemeClr w14:val="tx1"/>
            </w14:solidFill>
          </w14:textFill>
        </w:rPr>
        <w:t>easure of</w:t>
      </w:r>
      <w:r>
        <w:rPr>
          <w:rFonts w:hint="eastAsia"/>
          <w:color w:val="323232" w:themeColor="text1"/>
          <w:szCs w:val="21"/>
          <w14:textFill>
            <w14:solidFill>
              <w14:schemeClr w14:val="tx1"/>
            </w14:solidFill>
          </w14:textFill>
        </w:rPr>
        <w:t xml:space="preserve"> </w:t>
      </w:r>
      <w:r>
        <w:rPr>
          <w:color w:val="323232" w:themeColor="text1"/>
          <w:szCs w:val="21"/>
          <w14:textFill>
            <w14:solidFill>
              <w14:schemeClr w14:val="tx1"/>
            </w14:solidFill>
          </w14:textFill>
        </w:rPr>
        <w:t>resistance reduction</w:t>
      </w:r>
    </w:p>
    <w:p>
      <w:pPr>
        <w:spacing w:line="360" w:lineRule="auto"/>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   采用桩周取土、水（气）切割、下套管等减小桩周阻力的拔除方法。</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2.1.7</w:t>
      </w:r>
      <w:r>
        <w:rPr>
          <w:rFonts w:hint="eastAsia"/>
          <w:color w:val="323232" w:themeColor="text1"/>
          <w:szCs w:val="21"/>
          <w14:textFill>
            <w14:solidFill>
              <w14:schemeClr w14:val="tx1"/>
            </w14:solidFill>
          </w14:textFill>
        </w:rPr>
        <w:t xml:space="preserve">  破碎法  c</w:t>
      </w:r>
      <w:r>
        <w:rPr>
          <w:color w:val="323232" w:themeColor="text1"/>
          <w:szCs w:val="21"/>
          <w14:textFill>
            <w14:solidFill>
              <w14:schemeClr w14:val="tx1"/>
            </w14:solidFill>
          </w14:textFill>
        </w:rPr>
        <w:t>rushing method</w:t>
      </w:r>
    </w:p>
    <w:p>
      <w:pPr>
        <w:spacing w:line="360" w:lineRule="auto"/>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   通过机械或人工将桩基在原位破碎后以清渣方式的清除方法。</w:t>
      </w:r>
    </w:p>
    <w:p>
      <w:pPr>
        <w:pStyle w:val="3"/>
        <w:rPr>
          <w:color w:val="323232" w:themeColor="text1"/>
          <w14:textFill>
            <w14:solidFill>
              <w14:schemeClr w14:val="tx1"/>
            </w14:solidFill>
          </w14:textFill>
        </w:rPr>
      </w:pPr>
      <w:bookmarkStart w:id="328" w:name="_Toc22658"/>
      <w:bookmarkStart w:id="329" w:name="_Toc6729"/>
      <w:bookmarkStart w:id="330" w:name="_Toc17764"/>
      <w:bookmarkStart w:id="331" w:name="_Toc25859"/>
      <w:bookmarkStart w:id="332" w:name="_Toc4393"/>
      <w:bookmarkStart w:id="333" w:name="_Toc5998"/>
      <w:bookmarkStart w:id="334" w:name="_Toc21867"/>
      <w:bookmarkStart w:id="335" w:name="_Toc9770"/>
      <w:bookmarkStart w:id="336" w:name="_Toc7298"/>
      <w:bookmarkStart w:id="337" w:name="_Toc1663"/>
      <w:bookmarkStart w:id="338" w:name="_Toc16491"/>
      <w:bookmarkStart w:id="339" w:name="_Toc6188"/>
      <w:r>
        <w:rPr>
          <w:rFonts w:ascii="Times New Roman" w:hAnsi="Times New Roman"/>
          <w:color w:val="323232" w:themeColor="text1"/>
          <w14:textFill>
            <w14:solidFill>
              <w14:schemeClr w14:val="tx1"/>
            </w14:solidFill>
          </w14:textFill>
        </w:rPr>
        <w:t xml:space="preserve">2.2 </w:t>
      </w:r>
      <w:r>
        <w:rPr>
          <w:rFonts w:hint="eastAsia"/>
          <w:color w:val="323232" w:themeColor="text1"/>
          <w14:textFill>
            <w14:solidFill>
              <w14:schemeClr w14:val="tx1"/>
            </w14:solidFill>
          </w14:textFill>
        </w:rPr>
        <w:t xml:space="preserve"> </w:t>
      </w:r>
      <w:r>
        <w:rPr>
          <w:rFonts w:hint="eastAsia" w:ascii="黑体" w:hAnsi="黑体" w:eastAsia="黑体" w:cs="黑体"/>
          <w:b w:val="0"/>
          <w:bCs/>
          <w:color w:val="000000"/>
        </w:rPr>
        <w:t>符 号</w:t>
      </w:r>
      <w:bookmarkEnd w:id="328"/>
      <w:bookmarkEnd w:id="329"/>
      <w:bookmarkEnd w:id="330"/>
      <w:bookmarkEnd w:id="331"/>
      <w:bookmarkEnd w:id="332"/>
      <w:bookmarkEnd w:id="333"/>
      <w:bookmarkEnd w:id="334"/>
      <w:bookmarkEnd w:id="335"/>
      <w:bookmarkEnd w:id="336"/>
      <w:bookmarkEnd w:id="337"/>
      <w:bookmarkEnd w:id="338"/>
      <w:bookmarkEnd w:id="339"/>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2.2.1</w:t>
      </w:r>
      <w:r>
        <w:rPr>
          <w:rFonts w:hint="eastAsia"/>
          <w:color w:val="323232" w:themeColor="text1"/>
          <w:szCs w:val="21"/>
          <w14:textFill>
            <w14:solidFill>
              <w14:schemeClr w14:val="tx1"/>
            </w14:solidFill>
          </w14:textFill>
        </w:rPr>
        <w:t xml:space="preserve">  作用和作用效应</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E</w:t>
      </w:r>
      <w:r>
        <w:rPr>
          <w:i/>
          <w:iCs/>
          <w:color w:val="323232" w:themeColor="text1"/>
          <w:szCs w:val="21"/>
          <w:vertAlign w:val="subscript"/>
          <w14:textFill>
            <w14:solidFill>
              <w14:schemeClr w14:val="tx1"/>
            </w14:solidFill>
          </w14:textFill>
        </w:rPr>
        <w:t>ai</w:t>
      </w:r>
      <w:r>
        <w:rPr>
          <w:rFonts w:hint="eastAsia" w:ascii="宋体" w:hAnsi="宋体" w:cs="宋体"/>
          <w:color w:val="323232" w:themeColor="text1"/>
          <w:szCs w:val="21"/>
          <w14:textFill>
            <w14:solidFill>
              <w14:schemeClr w14:val="tx1"/>
            </w14:solidFill>
          </w14:textFill>
        </w:rPr>
        <w:t>——第</w:t>
      </w:r>
      <w:r>
        <w:rPr>
          <w:i/>
          <w:iCs/>
          <w:color w:val="323232" w:themeColor="text1"/>
          <w:szCs w:val="21"/>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层土作用在桩侧的主动土压力；</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G</w:t>
      </w:r>
      <w:r>
        <w:rPr>
          <w:rFonts w:hint="eastAsia"/>
          <w:color w:val="323232" w:themeColor="text1"/>
          <w:szCs w:val="21"/>
          <w14:textFill>
            <w14:solidFill>
              <w14:schemeClr w14:val="tx1"/>
            </w14:solidFill>
          </w14:textFill>
        </w:rPr>
        <w:t>——桩基自重；</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M</w:t>
      </w:r>
      <w:r>
        <w:rPr>
          <w:rFonts w:hint="eastAsia"/>
          <w:color w:val="323232" w:themeColor="text1"/>
          <w:szCs w:val="21"/>
          <w:vertAlign w:val="subscript"/>
          <w14:textFill>
            <w14:solidFill>
              <w14:schemeClr w14:val="tx1"/>
            </w14:solidFill>
          </w14:textFill>
        </w:rPr>
        <w:t>0</w:t>
      </w:r>
      <w:r>
        <w:rPr>
          <w:rFonts w:hint="eastAsia"/>
          <w:color w:val="323232" w:themeColor="text1"/>
          <w:szCs w:val="21"/>
          <w14:textFill>
            <w14:solidFill>
              <w14:schemeClr w14:val="tx1"/>
            </w14:solidFill>
          </w14:textFill>
        </w:rPr>
        <w:t>——拔桩需要的偏心距</w:t>
      </w:r>
      <w:r>
        <w:rPr>
          <w:rFonts w:hint="eastAsia" w:ascii="宋体" w:hAnsi="宋体" w:cs="宋体"/>
          <w:color w:val="323232" w:themeColor="text1"/>
          <w:szCs w:val="21"/>
          <w14:textFill>
            <w14:solidFill>
              <w14:schemeClr w14:val="tx1"/>
            </w14:solidFill>
          </w14:textFill>
        </w:rPr>
        <w:t>。</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2.2.2</w:t>
      </w:r>
      <w:r>
        <w:rPr>
          <w:rFonts w:hint="eastAsia"/>
          <w:color w:val="323232" w:themeColor="text1"/>
          <w:szCs w:val="21"/>
          <w14:textFill>
            <w14:solidFill>
              <w14:schemeClr w14:val="tx1"/>
            </w14:solidFill>
          </w14:textFill>
        </w:rPr>
        <w:t xml:space="preserve">  抗力和材料性能</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F</w:t>
      </w:r>
      <w:r>
        <w:rPr>
          <w:rFonts w:hint="eastAsia"/>
          <w:color w:val="323232" w:themeColor="text1"/>
          <w:szCs w:val="21"/>
          <w:vertAlign w:val="subscript"/>
          <w14:textFill>
            <w14:solidFill>
              <w14:schemeClr w14:val="tx1"/>
            </w14:solidFill>
          </w14:textFill>
        </w:rPr>
        <w:t>e</w:t>
      </w:r>
      <w:r>
        <w:rPr>
          <w:rFonts w:hint="eastAsia"/>
          <w:color w:val="323232" w:themeColor="text1"/>
          <w:szCs w:val="21"/>
          <w14:textFill>
            <w14:solidFill>
              <w14:schemeClr w14:val="tx1"/>
            </w14:solidFill>
          </w14:textFill>
        </w:rPr>
        <w:t>——桩与土的侧阻力；</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F</w:t>
      </w:r>
      <w:r>
        <w:rPr>
          <w:rFonts w:hint="eastAsia"/>
          <w:color w:val="323232" w:themeColor="text1"/>
          <w:szCs w:val="21"/>
          <w:vertAlign w:val="subscript"/>
          <w14:textFill>
            <w14:solidFill>
              <w14:schemeClr w14:val="tx1"/>
            </w14:solidFill>
          </w14:textFill>
        </w:rPr>
        <w:t>s</w:t>
      </w:r>
      <w:r>
        <w:rPr>
          <w:rFonts w:hint="eastAsia"/>
          <w:color w:val="323232" w:themeColor="text1"/>
          <w:szCs w:val="21"/>
          <w14:textFill>
            <w14:solidFill>
              <w14:schemeClr w14:val="tx1"/>
            </w14:solidFill>
          </w14:textFill>
        </w:rPr>
        <w:t>——桩与土的侧面摩擦力；</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i/>
          <w:iCs/>
          <w:color w:val="323232" w:themeColor="text1"/>
          <w:szCs w:val="21"/>
          <w14:textFill>
            <w14:solidFill>
              <w14:schemeClr w14:val="tx1"/>
            </w14:solidFill>
          </w14:textFill>
        </w:rPr>
        <w:t>τ</w:t>
      </w:r>
      <w:r>
        <w:rPr>
          <w:rFonts w:hint="eastAsia" w:ascii="宋体" w:hAnsi="宋体" w:cs="宋体"/>
          <w:i/>
          <w:iCs/>
          <w:color w:val="323232" w:themeColor="text1"/>
          <w:szCs w:val="21"/>
          <w:vertAlign w:val="subscript"/>
          <w14:textFill>
            <w14:solidFill>
              <w14:schemeClr w14:val="tx1"/>
            </w14:solidFill>
          </w14:textFill>
        </w:rPr>
        <w:t>i</w:t>
      </w:r>
      <w:r>
        <w:rPr>
          <w:rFonts w:hint="eastAsia"/>
          <w:color w:val="323232" w:themeColor="text1"/>
          <w:szCs w:val="21"/>
          <w14:textFill>
            <w14:solidFill>
              <w14:schemeClr w14:val="tx1"/>
            </w14:solidFill>
          </w14:textFill>
        </w:rPr>
        <w:t>——桩与桩侧第</w:t>
      </w:r>
      <w:r>
        <w:rPr>
          <w:rFonts w:hint="eastAsia"/>
          <w:i/>
          <w:iCs/>
          <w:color w:val="323232" w:themeColor="text1"/>
          <w:szCs w:val="21"/>
          <w14:textFill>
            <w14:solidFill>
              <w14:schemeClr w14:val="tx1"/>
            </w14:solidFill>
          </w14:textFill>
        </w:rPr>
        <w:t>i</w:t>
      </w:r>
      <w:r>
        <w:rPr>
          <w:rFonts w:hint="eastAsia"/>
          <w:color w:val="323232" w:themeColor="text1"/>
          <w:szCs w:val="21"/>
          <w14:textFill>
            <w14:solidFill>
              <w14:schemeClr w14:val="tx1"/>
            </w14:solidFill>
          </w14:textFill>
        </w:rPr>
        <w:t>层土的侧阻力；</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μ</w:t>
      </w:r>
      <w:r>
        <w:rPr>
          <w:rFonts w:hint="eastAsia" w:ascii="宋体" w:hAnsi="宋体" w:cs="宋体"/>
          <w:color w:val="323232" w:themeColor="text1"/>
          <w:szCs w:val="21"/>
          <w14:textFill>
            <w14:solidFill>
              <w14:schemeClr w14:val="tx1"/>
            </w14:solidFill>
          </w14:textFill>
        </w:rPr>
        <w:t>——桩与桩侧土的摩擦力系数。</w:t>
      </w:r>
    </w:p>
    <w:p>
      <w:pPr>
        <w:spacing w:line="360" w:lineRule="auto"/>
        <w:rPr>
          <w:color w:val="323232" w:themeColor="text1"/>
          <w:szCs w:val="21"/>
          <w14:textFill>
            <w14:solidFill>
              <w14:schemeClr w14:val="tx1"/>
            </w14:solidFill>
          </w14:textFill>
        </w:rPr>
      </w:pPr>
      <w:r>
        <w:rPr>
          <w:rFonts w:hint="eastAsia"/>
          <w:b/>
          <w:bCs/>
          <w:color w:val="323232" w:themeColor="text1"/>
          <w:position w:val="-6"/>
          <w:szCs w:val="21"/>
          <w14:textFill>
            <w14:solidFill>
              <w14:schemeClr w14:val="tx1"/>
            </w14:solidFill>
          </w14:textFill>
        </w:rPr>
        <w:t>2.2.3</w:t>
      </w:r>
      <w:r>
        <w:rPr>
          <w:rFonts w:hint="eastAsia"/>
          <w:color w:val="323232" w:themeColor="text1"/>
          <w:position w:val="-6"/>
          <w:szCs w:val="21"/>
          <w14:textFill>
            <w14:solidFill>
              <w14:schemeClr w14:val="tx1"/>
            </w14:solidFill>
          </w14:textFill>
        </w:rPr>
        <w:t xml:space="preserve">  几何参数</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A</w:t>
      </w:r>
      <w:r>
        <w:rPr>
          <w:rFonts w:hint="eastAsia"/>
          <w:color w:val="323232" w:themeColor="text1"/>
          <w:szCs w:val="21"/>
          <w:vertAlign w:val="subscript"/>
          <w14:textFill>
            <w14:solidFill>
              <w14:schemeClr w14:val="tx1"/>
            </w14:solidFill>
          </w14:textFill>
        </w:rPr>
        <w:t>s</w:t>
      </w:r>
      <w:r>
        <w:rPr>
          <w:rFonts w:hint="eastAsia"/>
          <w:color w:val="323232" w:themeColor="text1"/>
          <w:szCs w:val="21"/>
          <w14:textFill>
            <w14:solidFill>
              <w14:schemeClr w14:val="tx1"/>
            </w14:solidFill>
          </w14:textFill>
        </w:rPr>
        <w:t>——拔桩需要的振幅；</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d</w:t>
      </w:r>
      <w:r>
        <w:rPr>
          <w:rFonts w:hint="eastAsia" w:ascii="宋体" w:hAnsi="宋体" w:cs="宋体"/>
          <w:color w:val="323232" w:themeColor="text1"/>
          <w:szCs w:val="21"/>
          <w14:textFill>
            <w14:solidFill>
              <w14:schemeClr w14:val="tx1"/>
            </w14:solidFill>
          </w14:textFill>
        </w:rPr>
        <w:t>——钻孔直径；</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i/>
          <w:iCs/>
          <w:color w:val="323232" w:themeColor="text1"/>
          <w:szCs w:val="21"/>
          <w14:textFill>
            <w14:solidFill>
              <w14:schemeClr w14:val="tx1"/>
            </w14:solidFill>
          </w14:textFill>
        </w:rPr>
        <w:t>D</w:t>
      </w:r>
      <w:r>
        <w:rPr>
          <w:rFonts w:hint="eastAsia" w:ascii="宋体" w:hAnsi="宋体" w:cs="宋体"/>
          <w:color w:val="323232" w:themeColor="text1"/>
          <w:szCs w:val="21"/>
          <w14:textFill>
            <w14:solidFill>
              <w14:schemeClr w14:val="tx1"/>
            </w14:solidFill>
          </w14:textFill>
        </w:rPr>
        <w:t>——桩径；</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i/>
          <w:iCs/>
          <w:color w:val="323232" w:themeColor="text1"/>
          <w:szCs w:val="21"/>
          <w14:textFill>
            <w14:solidFill>
              <w14:schemeClr w14:val="tx1"/>
            </w14:solidFill>
          </w14:textFill>
        </w:rPr>
        <w:t>h</w:t>
      </w:r>
      <w:r>
        <w:rPr>
          <w:i/>
          <w:iCs/>
          <w:color w:val="323232" w:themeColor="text1"/>
          <w:szCs w:val="21"/>
          <w:vertAlign w:val="subscript"/>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——桩侧第</w:t>
      </w:r>
      <w:r>
        <w:rPr>
          <w:i/>
          <w:iCs/>
          <w:color w:val="323232" w:themeColor="text1"/>
          <w:szCs w:val="21"/>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层土的厚度</w:t>
      </w:r>
      <w:r>
        <w:rPr>
          <w:rFonts w:hint="eastAsia"/>
          <w:color w:val="323232" w:themeColor="text1"/>
          <w:szCs w:val="21"/>
          <w14:textFill>
            <w14:solidFill>
              <w14:schemeClr w14:val="tx1"/>
            </w14:solidFill>
          </w14:textFill>
        </w:rPr>
        <w:t>；</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l</w:t>
      </w:r>
      <w:r>
        <w:rPr>
          <w:rFonts w:hint="eastAsia"/>
          <w:i/>
          <w:iCs/>
          <w:color w:val="323232" w:themeColor="text1"/>
          <w:szCs w:val="21"/>
          <w:vertAlign w:val="subscript"/>
          <w14:textFill>
            <w14:solidFill>
              <w14:schemeClr w14:val="tx1"/>
            </w14:solidFill>
          </w14:textFill>
        </w:rPr>
        <w:t>i</w:t>
      </w:r>
      <w:r>
        <w:rPr>
          <w:rFonts w:hint="eastAsia"/>
          <w:color w:val="323232" w:themeColor="text1"/>
          <w:szCs w:val="21"/>
          <w14:textFill>
            <w14:solidFill>
              <w14:schemeClr w14:val="tx1"/>
            </w14:solidFill>
          </w14:textFill>
        </w:rPr>
        <w:t>——桩周第</w:t>
      </w:r>
      <w:r>
        <w:rPr>
          <w:rFonts w:hint="eastAsia"/>
          <w:i/>
          <w:iCs/>
          <w:color w:val="323232" w:themeColor="text1"/>
          <w:szCs w:val="21"/>
          <w14:textFill>
            <w14:solidFill>
              <w14:schemeClr w14:val="tx1"/>
            </w14:solidFill>
          </w14:textFill>
        </w:rPr>
        <w:t>i</w:t>
      </w:r>
      <w:r>
        <w:rPr>
          <w:rFonts w:hint="eastAsia"/>
          <w:color w:val="323232" w:themeColor="text1"/>
          <w:szCs w:val="21"/>
          <w14:textFill>
            <w14:solidFill>
              <w14:schemeClr w14:val="tx1"/>
            </w14:solidFill>
          </w14:textFill>
        </w:rPr>
        <w:t>层土的厚度；</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L</w:t>
      </w:r>
      <w:r>
        <w:rPr>
          <w:rFonts w:hint="eastAsia"/>
          <w:color w:val="323232" w:themeColor="text1"/>
          <w:szCs w:val="21"/>
          <w14:textFill>
            <w14:solidFill>
              <w14:schemeClr w14:val="tx1"/>
            </w14:solidFill>
          </w14:textFill>
        </w:rPr>
        <w:t>——桩长；</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N</w:t>
      </w:r>
      <w:r>
        <w:rPr>
          <w:rFonts w:hint="eastAsia"/>
          <w:color w:val="323232" w:themeColor="text1"/>
          <w:szCs w:val="21"/>
          <w14:textFill>
            <w14:solidFill>
              <w14:schemeClr w14:val="tx1"/>
            </w14:solidFill>
          </w14:textFill>
        </w:rPr>
        <w:t>——桩尖进入所在土层的标准贯入锤击数；</w:t>
      </w:r>
    </w:p>
    <w:p>
      <w:pPr>
        <w:adjustRightInd w:val="0"/>
        <w:snapToGrid w:val="0"/>
        <w:spacing w:line="360" w:lineRule="auto"/>
        <w:ind w:firstLine="420" w:firstLineChars="2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u</w:t>
      </w:r>
      <w:r>
        <w:rPr>
          <w:rFonts w:hint="eastAsia"/>
          <w:color w:val="323232" w:themeColor="text1"/>
          <w:szCs w:val="21"/>
          <w14:textFill>
            <w14:solidFill>
              <w14:schemeClr w14:val="tx1"/>
            </w14:solidFill>
          </w14:textFill>
        </w:rPr>
        <w:t>——桩的周长；</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W</w:t>
      </w:r>
      <w:r>
        <w:rPr>
          <w:rFonts w:hint="eastAsia"/>
          <w:color w:val="323232" w:themeColor="text1"/>
          <w:szCs w:val="21"/>
          <w14:textFill>
            <w14:solidFill>
              <w14:schemeClr w14:val="tx1"/>
            </w14:solidFill>
          </w14:textFill>
        </w:rPr>
        <w:t>——桩与桩侧土的接触宽度</w:t>
      </w:r>
      <w:r>
        <w:rPr>
          <w:rFonts w:hint="eastAsia" w:ascii="宋体" w:hAnsi="宋体" w:cs="宋体"/>
          <w:color w:val="323232" w:themeColor="text1"/>
          <w:szCs w:val="21"/>
          <w14:textFill>
            <w14:solidFill>
              <w14:schemeClr w14:val="tx1"/>
            </w14:solidFill>
          </w14:textFill>
        </w:rPr>
        <w:t>。</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2.2.4</w:t>
      </w:r>
      <w:r>
        <w:rPr>
          <w:rFonts w:hint="eastAsia"/>
          <w:color w:val="323232" w:themeColor="text1"/>
          <w:szCs w:val="21"/>
          <w14:textFill>
            <w14:solidFill>
              <w14:schemeClr w14:val="tx1"/>
            </w14:solidFill>
          </w14:textFill>
        </w:rPr>
        <w:t xml:space="preserve">  计算系数</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η</w:t>
      </w:r>
      <w:r>
        <w:rPr>
          <w:rFonts w:hint="eastAsia" w:ascii="宋体" w:hAnsi="宋体" w:cs="宋体"/>
          <w:color w:val="323232" w:themeColor="text1"/>
          <w:szCs w:val="21"/>
          <w14:textFill>
            <w14:solidFill>
              <w14:schemeClr w14:val="tx1"/>
            </w14:solidFill>
          </w14:textFill>
        </w:rPr>
        <w:t>——减阻系数；</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λ</w:t>
      </w:r>
      <w:r>
        <w:rPr>
          <w:rFonts w:hint="eastAsia" w:ascii="宋体" w:hAnsi="宋体" w:cs="宋体"/>
          <w:color w:val="323232" w:themeColor="text1"/>
          <w:szCs w:val="21"/>
          <w14:textFill>
            <w14:solidFill>
              <w14:schemeClr w14:val="tx1"/>
            </w14:solidFill>
          </w14:textFill>
        </w:rPr>
        <w:t>——钻孔扰动桩周土带来的折减系数增大系数；</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λ</w:t>
      </w:r>
      <w:r>
        <w:rPr>
          <w:rFonts w:hint="eastAsia" w:ascii="宋体" w:hAnsi="宋体" w:cs="宋体"/>
          <w:i/>
          <w:iCs/>
          <w:color w:val="323232" w:themeColor="text1"/>
          <w:szCs w:val="21"/>
          <w:vertAlign w:val="subscript"/>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——抗拔系数；</w:t>
      </w:r>
    </w:p>
    <w:p>
      <w:pPr>
        <w:adjustRightInd w:val="0"/>
        <w:snapToGrid w:val="0"/>
        <w:spacing w:line="360" w:lineRule="auto"/>
        <w:ind w:firstLine="420" w:firstLineChars="2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n</w:t>
      </w:r>
      <w:r>
        <w:rPr>
          <w:rFonts w:hint="eastAsia" w:ascii="宋体" w:hAnsi="宋体" w:cs="宋体"/>
          <w:color w:val="323232" w:themeColor="text1"/>
          <w:szCs w:val="21"/>
          <w14:textFill>
            <w14:solidFill>
              <w14:schemeClr w14:val="tx1"/>
            </w14:solidFill>
          </w14:textFill>
        </w:rPr>
        <w:t>——钻孔数量。</w:t>
      </w:r>
    </w:p>
    <w:p>
      <w:pPr>
        <w:pStyle w:val="2"/>
        <w:rPr>
          <w:color w:val="323232" w:themeColor="text1"/>
          <w14:textFill>
            <w14:solidFill>
              <w14:schemeClr w14:val="tx1"/>
            </w14:solidFill>
          </w14:textFill>
        </w:rPr>
      </w:pPr>
      <w:bookmarkStart w:id="340" w:name="_Toc9298"/>
      <w:r>
        <w:rPr>
          <w:rFonts w:hint="eastAsia"/>
          <w:color w:val="323232" w:themeColor="text1"/>
          <w14:textFill>
            <w14:solidFill>
              <w14:schemeClr w14:val="tx1"/>
            </w14:solidFill>
          </w14:textFill>
        </w:rPr>
        <w:br w:type="page"/>
      </w:r>
    </w:p>
    <w:p>
      <w:pPr>
        <w:pStyle w:val="2"/>
        <w:pageBreakBefore/>
        <w:rPr>
          <w:rFonts w:eastAsia="黑体"/>
          <w:b w:val="0"/>
          <w:color w:val="323232" w:themeColor="text1"/>
          <w:sz w:val="32"/>
          <w:szCs w:val="32"/>
          <w14:textFill>
            <w14:solidFill>
              <w14:schemeClr w14:val="tx1"/>
            </w14:solidFill>
          </w14:textFill>
        </w:rPr>
      </w:pPr>
      <w:bookmarkStart w:id="341" w:name="_Toc6546"/>
      <w:bookmarkStart w:id="342" w:name="_Toc11765"/>
      <w:bookmarkStart w:id="343" w:name="_Toc5548"/>
      <w:bookmarkStart w:id="344" w:name="_Toc5451"/>
      <w:bookmarkStart w:id="345" w:name="_Toc21209"/>
      <w:bookmarkStart w:id="346" w:name="_Toc1879"/>
      <w:bookmarkStart w:id="347" w:name="_Toc2062"/>
      <w:bookmarkStart w:id="348" w:name="_Toc10963"/>
      <w:bookmarkStart w:id="349" w:name="_Toc19295"/>
      <w:bookmarkStart w:id="350" w:name="_Toc6263"/>
      <w:bookmarkStart w:id="351" w:name="_Toc13182"/>
      <w:bookmarkStart w:id="352" w:name="_Hlk96638456"/>
      <w:r>
        <w:rPr>
          <w:rFonts w:hint="eastAsia" w:eastAsia="黑体"/>
          <w:b/>
          <w:bCs/>
          <w:color w:val="323232" w:themeColor="text1"/>
          <w:sz w:val="32"/>
          <w:szCs w:val="32"/>
          <w14:textFill>
            <w14:solidFill>
              <w14:schemeClr w14:val="tx1"/>
            </w14:solidFill>
          </w14:textFill>
        </w:rPr>
        <w:t xml:space="preserve">3  </w:t>
      </w:r>
      <w:r>
        <w:rPr>
          <w:rFonts w:hint="eastAsia" w:eastAsia="黑体"/>
          <w:b w:val="0"/>
          <w:color w:val="323232" w:themeColor="text1"/>
          <w:sz w:val="32"/>
          <w:szCs w:val="32"/>
          <w14:textFill>
            <w14:solidFill>
              <w14:schemeClr w14:val="tx1"/>
            </w14:solidFill>
          </w14:textFill>
        </w:rPr>
        <w:t>基本规定</w:t>
      </w:r>
      <w:bookmarkEnd w:id="340"/>
      <w:bookmarkEnd w:id="341"/>
      <w:bookmarkEnd w:id="342"/>
      <w:bookmarkEnd w:id="343"/>
      <w:bookmarkEnd w:id="344"/>
      <w:bookmarkEnd w:id="345"/>
      <w:bookmarkEnd w:id="346"/>
      <w:bookmarkEnd w:id="347"/>
      <w:bookmarkEnd w:id="348"/>
      <w:bookmarkEnd w:id="349"/>
      <w:bookmarkEnd w:id="350"/>
      <w:bookmarkEnd w:id="351"/>
    </w:p>
    <w:bookmarkEnd w:id="352"/>
    <w:p>
      <w:pPr>
        <w:spacing w:line="360" w:lineRule="auto"/>
        <w:rPr>
          <w:b/>
          <w:bCs/>
          <w:color w:val="323232" w:themeColor="text1"/>
          <w:szCs w:val="21"/>
          <w14:textFill>
            <w14:solidFill>
              <w14:schemeClr w14:val="tx1"/>
            </w14:solidFill>
          </w14:textFill>
        </w:rPr>
      </w:pPr>
      <w:r>
        <w:rPr>
          <w:b/>
          <w:bCs/>
          <w:color w:val="323232" w:themeColor="text1"/>
          <w:szCs w:val="21"/>
          <w14:textFill>
            <w14:solidFill>
              <w14:schemeClr w14:val="tx1"/>
            </w14:solidFill>
          </w14:textFill>
        </w:rPr>
        <w:t>3.0.</w:t>
      </w: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拟建工程场地或其附近存在对工程施工有影响的既有桩基时，应根据设计需求进行桩基清除。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3.0.</w:t>
      </w:r>
      <w:r>
        <w:rPr>
          <w:b/>
          <w:bCs/>
          <w:color w:val="323232" w:themeColor="text1"/>
          <w:szCs w:val="21"/>
          <w14:textFill>
            <w14:solidFill>
              <w14:schemeClr w14:val="tx1"/>
            </w14:solidFill>
          </w14:textFill>
        </w:rPr>
        <w:t>2</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既有桩基清除，应具备以下条件：</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场地岩土工程勘察资料。当资料缺失，不能满足设计施工要求时，应进行勘察或补充勘察；</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既有桩基的设计资料、施工记录、竣工图、检测报告等。当资料缺失，不能满足设计施工要求时，应进行现场调查；</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  </w:t>
      </w:r>
      <w:r>
        <w:rPr>
          <w:rFonts w:hint="eastAsia"/>
          <w:color w:val="323232" w:themeColor="text1"/>
          <w:szCs w:val="21"/>
          <w14:textFill>
            <w14:solidFill>
              <w14:schemeClr w14:val="tx1"/>
            </w14:solidFill>
          </w14:textFill>
        </w:rPr>
        <w:t>既有桩基清除施工可能影响范围内的临近道路、管线、深基坑工程等建（构）筑物的有关勘察、设计、施工、监测等资料；</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  </w:t>
      </w:r>
      <w:r>
        <w:rPr>
          <w:rFonts w:hint="eastAsia"/>
          <w:color w:val="323232" w:themeColor="text1"/>
          <w:szCs w:val="21"/>
          <w14:textFill>
            <w14:solidFill>
              <w14:schemeClr w14:val="tx1"/>
            </w14:solidFill>
          </w14:textFill>
        </w:rPr>
        <w:t>必要时可对周边被保护建（构）筑物等采取隔离、加固等保护措施；</w:t>
      </w:r>
    </w:p>
    <w:p>
      <w:pPr>
        <w:pStyle w:val="14"/>
        <w:spacing w:beforeLines="0" w:afterLines="0" w:line="360" w:lineRule="auto"/>
        <w:ind w:firstLine="422"/>
      </w:pPr>
      <w:r>
        <w:rPr>
          <w:rFonts w:hint="eastAsia" w:ascii="Times New Roman" w:hAnsi="Times New Roman"/>
          <w:b/>
          <w:bCs/>
          <w:color w:val="323232" w:themeColor="text1"/>
          <w:sz w:val="21"/>
          <w:szCs w:val="21"/>
          <w14:textFill>
            <w14:solidFill>
              <w14:schemeClr w14:val="tx1"/>
            </w14:solidFill>
          </w14:textFill>
        </w:rPr>
        <w:t xml:space="preserve">5  </w:t>
      </w:r>
      <w:r>
        <w:rPr>
          <w:rFonts w:hint="eastAsia"/>
          <w:color w:val="323232" w:themeColor="text1"/>
          <w:sz w:val="21"/>
          <w:szCs w:val="21"/>
          <w14:textFill>
            <w14:solidFill>
              <w14:schemeClr w14:val="tx1"/>
            </w14:solidFill>
          </w14:textFill>
        </w:rPr>
        <w:t>场地完成三通一平，地基土承载力满足设备及安全施工要求。</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3.0.</w:t>
      </w:r>
      <w:r>
        <w:rPr>
          <w:b/>
          <w:bCs/>
          <w:color w:val="323232" w:themeColor="text1"/>
          <w:szCs w:val="21"/>
          <w14:textFill>
            <w14:solidFill>
              <w14:schemeClr w14:val="tx1"/>
            </w14:solidFill>
          </w14:textFill>
        </w:rPr>
        <w:t>3</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既有桩基清除工程勘察的内容包括查明场地内既有桩基现状和工程地质及水文地质条件，评价其对拟建工程及环境的影响，并提出合理的利用条件和工程处理措施建议。</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3.0.4  </w:t>
      </w:r>
      <w:r>
        <w:rPr>
          <w:rFonts w:hint="eastAsia"/>
          <w:color w:val="323232" w:themeColor="text1"/>
          <w:szCs w:val="21"/>
          <w14:textFill>
            <w14:solidFill>
              <w14:schemeClr w14:val="tx1"/>
            </w14:solidFill>
          </w14:textFill>
        </w:rPr>
        <w:t>既有桩基清除应根据拟建工程需求，结合既有桩基现状、现场作业环境，考虑工程地质及水文地质影响，选择并制定施工方案，并从清除效果、施工难易程度、施工可行性和安全性、对临近建（构）筑物等和周边环境的影响、经济性、工期等方面进行分析和比较，优选一种或几种组合清除方法。</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3.0.5  </w:t>
      </w:r>
      <w:r>
        <w:rPr>
          <w:rFonts w:hint="eastAsia"/>
          <w:color w:val="323232" w:themeColor="text1"/>
          <w:szCs w:val="21"/>
          <w14:textFill>
            <w14:solidFill>
              <w14:schemeClr w14:val="tx1"/>
            </w14:solidFill>
          </w14:textFill>
        </w:rPr>
        <w:t>对选定的清除方法，应通过现场试清除确定具体工艺参数和施工可行性。</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3.0.6  </w:t>
      </w:r>
      <w:r>
        <w:rPr>
          <w:rFonts w:hint="eastAsia"/>
          <w:color w:val="323232" w:themeColor="text1"/>
          <w:szCs w:val="21"/>
          <w14:textFill>
            <w14:solidFill>
              <w14:schemeClr w14:val="tx1"/>
            </w14:solidFill>
          </w14:textFill>
        </w:rPr>
        <w:t>清除完成后，应按拟建工程要求和国家现行有关标准进行场地的检验和验收。</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3.0.7  </w:t>
      </w:r>
      <w:r>
        <w:rPr>
          <w:rFonts w:hint="eastAsia"/>
          <w:color w:val="323232" w:themeColor="text1"/>
          <w:szCs w:val="21"/>
          <w14:textFill>
            <w14:solidFill>
              <w14:schemeClr w14:val="tx1"/>
            </w14:solidFill>
          </w14:textFill>
        </w:rPr>
        <w:t>既有桩基清除现场施工的安全、文物及环境保护等应按有关规定执行。</w:t>
      </w:r>
    </w:p>
    <w:p>
      <w:pPr>
        <w:spacing w:line="360" w:lineRule="auto"/>
        <w:rPr>
          <w:color w:val="323232" w:themeColor="text1"/>
          <w:sz w:val="24"/>
          <w14:textFill>
            <w14:solidFill>
              <w14:schemeClr w14:val="tx1"/>
            </w14:solidFill>
          </w14:textFill>
        </w:rPr>
      </w:pPr>
    </w:p>
    <w:p>
      <w:pPr>
        <w:spacing w:line="360" w:lineRule="auto"/>
        <w:ind w:firstLine="480"/>
        <w:rPr>
          <w:color w:val="323232" w:themeColor="text1"/>
          <w:sz w:val="24"/>
          <w14:textFill>
            <w14:solidFill>
              <w14:schemeClr w14:val="tx1"/>
            </w14:solidFill>
          </w14:textFill>
        </w:rPr>
      </w:pPr>
    </w:p>
    <w:p>
      <w:pPr>
        <w:spacing w:line="360" w:lineRule="auto"/>
        <w:ind w:firstLine="480"/>
        <w:rPr>
          <w:color w:val="323232" w:themeColor="text1"/>
          <w:sz w:val="24"/>
          <w14:textFill>
            <w14:solidFill>
              <w14:schemeClr w14:val="tx1"/>
            </w14:solidFill>
          </w14:textFill>
        </w:rPr>
      </w:pPr>
    </w:p>
    <w:p>
      <w:pPr>
        <w:spacing w:line="360" w:lineRule="auto"/>
        <w:rPr>
          <w:color w:val="323232" w:themeColor="text1"/>
          <w:sz w:val="24"/>
          <w14:textFill>
            <w14:solidFill>
              <w14:schemeClr w14:val="tx1"/>
            </w14:solidFill>
          </w14:textFill>
        </w:rPr>
      </w:pPr>
    </w:p>
    <w:p>
      <w:pPr>
        <w:spacing w:line="360" w:lineRule="auto"/>
        <w:rPr>
          <w:color w:val="323232" w:themeColor="text1"/>
          <w:sz w:val="24"/>
          <w14:textFill>
            <w14:solidFill>
              <w14:schemeClr w14:val="tx1"/>
            </w14:solidFill>
          </w14:textFill>
        </w:rPr>
        <w:sectPr>
          <w:pgSz w:w="7937" w:h="11906"/>
          <w:pgMar w:top="1134" w:right="1134" w:bottom="1134" w:left="1134" w:header="851" w:footer="992" w:gutter="0"/>
          <w:pgNumType w:fmt="decimal"/>
          <w:cols w:space="0" w:num="1"/>
          <w:docGrid w:type="lines" w:linePitch="312" w:charSpace="0"/>
        </w:sectPr>
      </w:pPr>
    </w:p>
    <w:p>
      <w:pPr>
        <w:pStyle w:val="2"/>
        <w:pageBreakBefore/>
        <w:rPr>
          <w:rFonts w:eastAsia="黑体"/>
          <w:b w:val="0"/>
          <w:color w:val="323232" w:themeColor="text1"/>
          <w:sz w:val="32"/>
          <w:szCs w:val="32"/>
          <w14:textFill>
            <w14:solidFill>
              <w14:schemeClr w14:val="tx1"/>
            </w14:solidFill>
          </w14:textFill>
        </w:rPr>
      </w:pPr>
      <w:bookmarkStart w:id="353" w:name="_Toc24976"/>
      <w:bookmarkStart w:id="354" w:name="_Toc1260"/>
      <w:bookmarkStart w:id="355" w:name="_Toc10643"/>
      <w:bookmarkStart w:id="356" w:name="_Toc1483"/>
      <w:bookmarkStart w:id="357" w:name="_Toc20111"/>
      <w:bookmarkStart w:id="358" w:name="_Toc29476"/>
      <w:bookmarkStart w:id="359" w:name="_Toc3531"/>
      <w:bookmarkStart w:id="360" w:name="_Toc23533"/>
      <w:bookmarkStart w:id="361" w:name="_Toc1898"/>
      <w:bookmarkStart w:id="362" w:name="_Toc5809"/>
      <w:bookmarkStart w:id="363" w:name="_Toc27799"/>
      <w:bookmarkStart w:id="364" w:name="_Toc15659"/>
      <w:bookmarkStart w:id="365" w:name="_Hlk96638797"/>
      <w:r>
        <w:rPr>
          <w:rFonts w:hint="eastAsia" w:eastAsia="黑体"/>
          <w:b/>
          <w:bCs/>
          <w:color w:val="323232" w:themeColor="text1"/>
          <w:sz w:val="32"/>
          <w:szCs w:val="32"/>
          <w14:textFill>
            <w14:solidFill>
              <w14:schemeClr w14:val="tx1"/>
            </w14:solidFill>
          </w14:textFill>
        </w:rPr>
        <w:t xml:space="preserve">4 </w:t>
      </w:r>
      <w:r>
        <w:rPr>
          <w:rFonts w:hint="eastAsia" w:eastAsia="黑体"/>
          <w:b w:val="0"/>
          <w:color w:val="323232" w:themeColor="text1"/>
          <w:sz w:val="32"/>
          <w:szCs w:val="32"/>
          <w14:textFill>
            <w14:solidFill>
              <w14:schemeClr w14:val="tx1"/>
            </w14:solidFill>
          </w14:textFill>
        </w:rPr>
        <w:t xml:space="preserve"> 工</w:t>
      </w:r>
      <w:bookmarkEnd w:id="353"/>
      <w:r>
        <w:rPr>
          <w:rFonts w:hint="eastAsia" w:eastAsia="黑体"/>
          <w:b w:val="0"/>
          <w:color w:val="323232" w:themeColor="text1"/>
          <w:sz w:val="32"/>
          <w:szCs w:val="32"/>
          <w14:textFill>
            <w14:solidFill>
              <w14:schemeClr w14:val="tx1"/>
            </w14:solidFill>
          </w14:textFill>
        </w:rPr>
        <w:t>程勘察</w:t>
      </w:r>
      <w:bookmarkEnd w:id="354"/>
      <w:bookmarkEnd w:id="355"/>
      <w:bookmarkEnd w:id="356"/>
      <w:bookmarkEnd w:id="357"/>
      <w:bookmarkEnd w:id="358"/>
      <w:bookmarkEnd w:id="359"/>
      <w:bookmarkEnd w:id="360"/>
      <w:bookmarkEnd w:id="361"/>
      <w:bookmarkEnd w:id="362"/>
      <w:bookmarkEnd w:id="363"/>
      <w:bookmarkEnd w:id="364"/>
    </w:p>
    <w:bookmarkEnd w:id="365"/>
    <w:p>
      <w:pPr>
        <w:pStyle w:val="3"/>
        <w:rPr>
          <w:color w:val="323232" w:themeColor="text1"/>
          <w14:textFill>
            <w14:solidFill>
              <w14:schemeClr w14:val="tx1"/>
            </w14:solidFill>
          </w14:textFill>
        </w:rPr>
      </w:pPr>
      <w:bookmarkStart w:id="366" w:name="_Toc30083"/>
      <w:bookmarkStart w:id="367" w:name="_Toc4221"/>
      <w:bookmarkStart w:id="368" w:name="_Toc1958"/>
      <w:bookmarkStart w:id="369" w:name="_Toc23850"/>
      <w:bookmarkStart w:id="370" w:name="_Toc25745"/>
      <w:bookmarkStart w:id="371" w:name="_Toc25116"/>
      <w:bookmarkStart w:id="372" w:name="_Toc25062"/>
      <w:bookmarkStart w:id="373" w:name="_Toc7137"/>
      <w:bookmarkStart w:id="374" w:name="_Toc16716"/>
      <w:bookmarkStart w:id="375" w:name="_Toc21422"/>
      <w:bookmarkStart w:id="376" w:name="_Toc28245"/>
      <w:bookmarkStart w:id="377" w:name="_Toc23107"/>
      <w:bookmarkStart w:id="378" w:name="_Hlk96639261"/>
      <w:r>
        <w:rPr>
          <w:rFonts w:ascii="Times New Roman" w:hAnsi="Times New Roman"/>
          <w:color w:val="323232" w:themeColor="text1"/>
          <w14:textFill>
            <w14:solidFill>
              <w14:schemeClr w14:val="tx1"/>
            </w14:solidFill>
          </w14:textFill>
        </w:rPr>
        <w:t xml:space="preserve">4.1 </w:t>
      </w:r>
      <w:r>
        <w:rPr>
          <w:rFonts w:hint="eastAsia"/>
          <w:color w:val="323232" w:themeColor="text1"/>
          <w14:textFill>
            <w14:solidFill>
              <w14:schemeClr w14:val="tx1"/>
            </w14:solidFill>
          </w14:textFill>
        </w:rPr>
        <w:t xml:space="preserve"> </w:t>
      </w:r>
      <w:r>
        <w:rPr>
          <w:rFonts w:hint="eastAsia" w:ascii="黑体" w:hAnsi="黑体" w:eastAsia="黑体" w:cs="黑体"/>
          <w:b w:val="0"/>
          <w:bCs/>
          <w:color w:val="000000"/>
        </w:rPr>
        <w:t>一般规定</w:t>
      </w:r>
      <w:bookmarkEnd w:id="366"/>
      <w:bookmarkEnd w:id="367"/>
      <w:bookmarkEnd w:id="368"/>
      <w:bookmarkEnd w:id="369"/>
      <w:bookmarkEnd w:id="370"/>
      <w:bookmarkEnd w:id="371"/>
      <w:bookmarkEnd w:id="372"/>
      <w:bookmarkEnd w:id="373"/>
      <w:bookmarkEnd w:id="374"/>
      <w:bookmarkEnd w:id="375"/>
      <w:bookmarkEnd w:id="376"/>
      <w:bookmarkEnd w:id="377"/>
    </w:p>
    <w:bookmarkEnd w:id="378"/>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4.1.1  </w:t>
      </w:r>
      <w:r>
        <w:rPr>
          <w:rFonts w:hint="eastAsia"/>
          <w:color w:val="323232" w:themeColor="text1"/>
          <w:szCs w:val="21"/>
          <w14:textFill>
            <w14:solidFill>
              <w14:schemeClr w14:val="tx1"/>
            </w14:solidFill>
          </w14:textFill>
        </w:rPr>
        <w:t>既有桩基清除工程勘察应包括下列内容：</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收集场地岩土工程勘察资料和既有桩基资料，并对收集到资料的可靠性、完整性进行分析和验证，确定需要补充勘察或调查的工作量；</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查明场地的地形地貌、地层结构、地下水条件、区域地质构造等工程地质条件；</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  </w:t>
      </w:r>
      <w:r>
        <w:rPr>
          <w:rFonts w:hint="eastAsia"/>
          <w:color w:val="323232" w:themeColor="text1"/>
          <w:szCs w:val="21"/>
          <w14:textFill>
            <w14:solidFill>
              <w14:schemeClr w14:val="tx1"/>
            </w14:solidFill>
          </w14:textFill>
        </w:rPr>
        <w:t>查明既有桩基现状，包括位置、数量、材料及性能、截面尺寸、桩顶埋深、桩长、成桩工艺、承载历史等；</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  </w:t>
      </w:r>
      <w:r>
        <w:rPr>
          <w:rFonts w:hint="eastAsia"/>
          <w:color w:val="323232" w:themeColor="text1"/>
          <w:szCs w:val="21"/>
          <w14:textFill>
            <w14:solidFill>
              <w14:schemeClr w14:val="tx1"/>
            </w14:solidFill>
          </w14:textFill>
        </w:rPr>
        <w:t>提供满足桩基清除计算、施工所需的岩土参数，包括性状、强度、承载力、桩土摩阻力等；</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  </w:t>
      </w:r>
      <w:r>
        <w:rPr>
          <w:rFonts w:hint="eastAsia"/>
          <w:color w:val="323232" w:themeColor="text1"/>
          <w:szCs w:val="21"/>
          <w14:textFill>
            <w14:solidFill>
              <w14:schemeClr w14:val="tx1"/>
            </w14:solidFill>
          </w14:textFill>
        </w:rPr>
        <w:t>评价拟建工程基础与既有桩基的位置关系、可能的影响及其范围；</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  </w:t>
      </w:r>
      <w:r>
        <w:rPr>
          <w:rFonts w:hint="eastAsia"/>
          <w:color w:val="323232" w:themeColor="text1"/>
          <w:szCs w:val="21"/>
          <w14:textFill>
            <w14:solidFill>
              <w14:schemeClr w14:val="tx1"/>
            </w14:solidFill>
          </w14:textFill>
        </w:rPr>
        <w:t>提出对既有桩基的清除建议。</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4.1.2  </w:t>
      </w:r>
      <w:r>
        <w:rPr>
          <w:rFonts w:hint="eastAsia"/>
          <w:color w:val="323232" w:themeColor="text1"/>
          <w:szCs w:val="21"/>
          <w14:textFill>
            <w14:solidFill>
              <w14:schemeClr w14:val="tx1"/>
            </w14:solidFill>
          </w14:textFill>
        </w:rPr>
        <w:t>既有桩基清除工程勘察应根据拟建建筑类型及布置形式、重要性等级、既有桩基现状、勘察手段的适用条件等，结合收集到的既有桩基勘察、设计、施工等资料，选择适宜的勘察方法与手段，合理布置工作内容。</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4.1.3  </w:t>
      </w:r>
      <w:r>
        <w:rPr>
          <w:rFonts w:hint="eastAsia"/>
          <w:color w:val="323232" w:themeColor="text1"/>
          <w:szCs w:val="21"/>
          <w14:textFill>
            <w14:solidFill>
              <w14:schemeClr w14:val="tx1"/>
            </w14:solidFill>
          </w14:textFill>
        </w:rPr>
        <w:t>既有桩基清除工程勘察可与拟建工程的岩土工程勘察结合进行。</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4.1.4  </w:t>
      </w:r>
      <w:r>
        <w:rPr>
          <w:rFonts w:hint="eastAsia"/>
          <w:color w:val="323232" w:themeColor="text1"/>
          <w:szCs w:val="21"/>
          <w14:textFill>
            <w14:solidFill>
              <w14:schemeClr w14:val="tx1"/>
            </w14:solidFill>
          </w14:textFill>
        </w:rPr>
        <w:t>当清除作业需进行降水施工时，工程勘察范围应根据降水影响区域适当扩大。</w:t>
      </w:r>
    </w:p>
    <w:p>
      <w:pPr>
        <w:pStyle w:val="3"/>
        <w:rPr>
          <w:rFonts w:ascii="Times New Roman" w:hAnsi="Times New Roman"/>
          <w:color w:val="323232" w:themeColor="text1"/>
          <w14:textFill>
            <w14:solidFill>
              <w14:schemeClr w14:val="tx1"/>
            </w14:solidFill>
          </w14:textFill>
        </w:rPr>
      </w:pPr>
      <w:bookmarkStart w:id="379" w:name="_Toc8897"/>
      <w:bookmarkStart w:id="380" w:name="_Toc26570"/>
      <w:bookmarkStart w:id="381" w:name="_Toc31322"/>
      <w:bookmarkStart w:id="382" w:name="_Toc7648"/>
      <w:bookmarkStart w:id="383" w:name="_Toc5081"/>
      <w:bookmarkStart w:id="384" w:name="_Toc30949"/>
      <w:bookmarkStart w:id="385" w:name="_Toc9980"/>
      <w:bookmarkStart w:id="386" w:name="_Toc8226"/>
      <w:bookmarkStart w:id="387" w:name="_Toc21253"/>
      <w:bookmarkStart w:id="388" w:name="_Toc26587"/>
      <w:bookmarkStart w:id="389" w:name="_Toc12342"/>
      <w:r>
        <w:rPr>
          <w:rFonts w:hint="eastAsia" w:ascii="Times New Roman" w:hAnsi="Times New Roman"/>
          <w:color w:val="323232" w:themeColor="text1"/>
          <w14:textFill>
            <w14:solidFill>
              <w14:schemeClr w14:val="tx1"/>
            </w14:solidFill>
          </w14:textFill>
        </w:rPr>
        <w:t xml:space="preserve">4.2  </w:t>
      </w:r>
      <w:r>
        <w:rPr>
          <w:rFonts w:hint="eastAsia" w:ascii="黑体" w:hAnsi="黑体" w:eastAsia="黑体" w:cs="黑体"/>
          <w:b w:val="0"/>
          <w:bCs/>
          <w:color w:val="000000"/>
        </w:rPr>
        <w:t>补充勘察</w:t>
      </w:r>
      <w:bookmarkEnd w:id="379"/>
      <w:bookmarkEnd w:id="380"/>
      <w:bookmarkEnd w:id="381"/>
      <w:bookmarkEnd w:id="382"/>
      <w:bookmarkEnd w:id="383"/>
      <w:bookmarkEnd w:id="384"/>
      <w:bookmarkEnd w:id="385"/>
      <w:bookmarkEnd w:id="386"/>
      <w:bookmarkEnd w:id="387"/>
      <w:bookmarkEnd w:id="388"/>
      <w:bookmarkEnd w:id="389"/>
    </w:p>
    <w:p>
      <w:pPr>
        <w:spacing w:line="360" w:lineRule="auto"/>
        <w:rPr>
          <w:color w:val="auto"/>
          <w:szCs w:val="21"/>
        </w:rPr>
      </w:pPr>
      <w:r>
        <w:rPr>
          <w:rFonts w:hint="eastAsia"/>
          <w:b/>
          <w:bCs/>
          <w:color w:val="323232" w:themeColor="text1"/>
          <w:szCs w:val="21"/>
          <w14:textFill>
            <w14:solidFill>
              <w14:schemeClr w14:val="tx1"/>
            </w14:solidFill>
          </w14:textFill>
        </w:rPr>
        <w:t xml:space="preserve">4.2.1  </w:t>
      </w:r>
      <w:r>
        <w:rPr>
          <w:rFonts w:hint="eastAsia"/>
          <w:color w:val="323232" w:themeColor="text1"/>
          <w:szCs w:val="21"/>
          <w14:textFill>
            <w14:solidFill>
              <w14:schemeClr w14:val="tx1"/>
            </w14:solidFill>
          </w14:textFill>
        </w:rPr>
        <w:t>对已收集到的场地岩土工程勘察资料，应分析验证其可</w:t>
      </w:r>
      <w:r>
        <w:rPr>
          <w:rFonts w:hint="eastAsia"/>
          <w:szCs w:val="21"/>
        </w:rPr>
        <w:t>靠性。需要进行现场验证时，验证点数不宜少于3个勘探点</w:t>
      </w:r>
      <w:r>
        <w:rPr>
          <w:rFonts w:hint="eastAsia" w:ascii="Times New Roman" w:hAnsi="Times New Roman" w:eastAsia="宋体" w:cs="Times New Roman"/>
          <w:color w:val="auto"/>
          <w:sz w:val="21"/>
          <w:szCs w:val="21"/>
        </w:rPr>
        <w:t>，勘探孔深度不少于原勘探孔深度</w:t>
      </w:r>
      <w:r>
        <w:rPr>
          <w:rFonts w:ascii="Times New Roman" w:hAnsi="Times New Roman" w:eastAsia="宋体" w:cs="Times New Roman"/>
          <w:color w:val="auto"/>
          <w:sz w:val="21"/>
          <w:szCs w:val="21"/>
        </w:rPr>
        <w:t>2m</w:t>
      </w:r>
      <w:r>
        <w:rPr>
          <w:rFonts w:hint="eastAsia" w:ascii="Times New Roman" w:hAnsi="Times New Roman" w:eastAsia="宋体" w:cs="Times New Roman"/>
          <w:color w:val="auto"/>
          <w:sz w:val="21"/>
          <w:szCs w:val="21"/>
        </w:rPr>
        <w:t>。</w:t>
      </w:r>
      <w:r>
        <w:rPr>
          <w:rFonts w:hint="eastAsia"/>
          <w:szCs w:val="21"/>
        </w:rPr>
        <w:t>若符合性较差则应扩大验证数量和范围。</w:t>
      </w:r>
    </w:p>
    <w:p>
      <w:pPr>
        <w:spacing w:line="360" w:lineRule="auto"/>
        <w:rPr>
          <w:szCs w:val="21"/>
        </w:rPr>
      </w:pPr>
      <w:r>
        <w:rPr>
          <w:rFonts w:hint="eastAsia"/>
          <w:b/>
          <w:bCs/>
          <w:color w:val="323232" w:themeColor="text1"/>
          <w:szCs w:val="21"/>
          <w14:textFill>
            <w14:solidFill>
              <w14:schemeClr w14:val="tx1"/>
            </w14:solidFill>
          </w14:textFill>
        </w:rPr>
        <w:t xml:space="preserve">4.2.2  </w:t>
      </w:r>
      <w:r>
        <w:rPr>
          <w:rFonts w:hint="eastAsia"/>
          <w:szCs w:val="21"/>
        </w:rPr>
        <w:t>工程勘察资料无法收集齐全或资料与实际情况不符时，应进行补充勘察。</w:t>
      </w:r>
    </w:p>
    <w:p>
      <w:pPr>
        <w:spacing w:line="360" w:lineRule="auto"/>
        <w:rPr>
          <w:color w:val="323232" w:themeColor="text1"/>
          <w:szCs w:val="21"/>
          <w14:textFill>
            <w14:solidFill>
              <w14:schemeClr w14:val="tx1"/>
            </w14:solidFill>
          </w14:textFill>
        </w:rPr>
      </w:pPr>
      <w:bookmarkStart w:id="390" w:name="_Hlk98704534"/>
      <w:r>
        <w:rPr>
          <w:rFonts w:hint="eastAsia"/>
          <w:b/>
          <w:bCs/>
          <w:color w:val="323232" w:themeColor="text1"/>
          <w:szCs w:val="21"/>
          <w14:textFill>
            <w14:solidFill>
              <w14:schemeClr w14:val="tx1"/>
            </w14:solidFill>
          </w14:textFill>
        </w:rPr>
        <w:t>4.2.3</w:t>
      </w:r>
      <w:r>
        <w:rPr>
          <w:rFonts w:hint="eastAsia"/>
          <w:color w:val="323232" w:themeColor="text1"/>
          <w:szCs w:val="21"/>
          <w14:textFill>
            <w14:solidFill>
              <w14:schemeClr w14:val="tx1"/>
            </w14:solidFill>
          </w14:textFill>
        </w:rPr>
        <w:t xml:space="preserve">  勘探点间距应结合原有建筑及拟建建筑平面进行布置，每个清除区域不宜少于3点，其间</w:t>
      </w:r>
      <w:r>
        <w:rPr>
          <w:rFonts w:hint="eastAsia"/>
          <w:szCs w:val="21"/>
        </w:rPr>
        <w:t>距宜为30~50m，</w:t>
      </w:r>
      <w:r>
        <w:rPr>
          <w:rFonts w:hint="eastAsia"/>
          <w:color w:val="323232" w:themeColor="text1"/>
          <w:szCs w:val="21"/>
          <w14:textFill>
            <w14:solidFill>
              <w14:schemeClr w14:val="tx1"/>
            </w14:solidFill>
          </w14:textFill>
        </w:rPr>
        <w:t>当地层条件复杂时应适当加密。</w:t>
      </w:r>
    </w:p>
    <w:bookmarkEnd w:id="390"/>
    <w:p>
      <w:pPr>
        <w:widowControl w:val="0"/>
        <w:spacing w:line="360" w:lineRule="auto"/>
        <w:jc w:val="both"/>
        <w:rPr>
          <w:rFonts w:ascii="宋体" w:hAnsi="宋体" w:cs="宋体"/>
          <w:kern w:val="0"/>
          <w:sz w:val="24"/>
        </w:rPr>
      </w:pPr>
      <w:r>
        <w:rPr>
          <w:rFonts w:hint="eastAsia"/>
          <w:b/>
          <w:bCs/>
          <w:color w:val="323232" w:themeColor="text1"/>
          <w:szCs w:val="21"/>
          <w14:textFill>
            <w14:solidFill>
              <w14:schemeClr w14:val="tx1"/>
            </w14:solidFill>
          </w14:textFill>
        </w:rPr>
        <w:t>4.2.4</w:t>
      </w:r>
      <w:r>
        <w:rPr>
          <w:b w:val="0"/>
          <w:bCs w:val="0"/>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勘探孔的深度应达到预计桩长以下2m，当有多种桩长时应根据最长桩确定。在预计勘探孔深度内遇稳定坚硬岩石时，可适当降低，钻至原桩基施工记录体现的桩端即可。</w:t>
      </w:r>
      <w:r>
        <w:rPr>
          <w:rFonts w:hint="eastAsia" w:ascii="宋体" w:hAnsi="宋体" w:cs="宋体"/>
          <w:kern w:val="0"/>
          <w:sz w:val="24"/>
        </w:rPr>
        <w:t xml:space="preserve"> </w:t>
      </w:r>
    </w:p>
    <w:p>
      <w:pPr>
        <w:spacing w:line="360" w:lineRule="auto"/>
        <w:rPr>
          <w:szCs w:val="21"/>
        </w:rPr>
      </w:pPr>
      <w:bookmarkStart w:id="391" w:name="_Hlk98705456"/>
      <w:r>
        <w:rPr>
          <w:rFonts w:hint="eastAsia"/>
          <w:b/>
          <w:bCs/>
          <w:color w:val="323232" w:themeColor="text1"/>
          <w:szCs w:val="21"/>
          <w14:textFill>
            <w14:solidFill>
              <w14:schemeClr w14:val="tx1"/>
            </w14:solidFill>
          </w14:textFill>
        </w:rPr>
        <w:t xml:space="preserve">4.2.5 </w:t>
      </w:r>
      <w:r>
        <w:rPr>
          <w:rFonts w:hint="eastAsia"/>
          <w:color w:val="323232" w:themeColor="text1"/>
          <w:szCs w:val="21"/>
          <w14:textFill>
            <w14:solidFill>
              <w14:schemeClr w14:val="tx1"/>
            </w14:solidFill>
          </w14:textFill>
        </w:rPr>
        <w:t xml:space="preserve"> 既有桩基补充勘察</w:t>
      </w:r>
      <w:r>
        <w:rPr>
          <w:rFonts w:hint="eastAsia"/>
          <w:szCs w:val="21"/>
        </w:rPr>
        <w:t>宜采用钻探和触探以及其他原位测试相结合的方式进行，对软土、黏性土、粉土和砂土的测试手段，宜采用静力触探和标准贯入试验；对碎石土宜采用重型或者超重型圆锥动力触探。</w:t>
      </w:r>
    </w:p>
    <w:bookmarkEnd w:id="391"/>
    <w:p>
      <w:pPr>
        <w:spacing w:line="360" w:lineRule="auto"/>
        <w:rPr>
          <w:szCs w:val="21"/>
        </w:rPr>
      </w:pPr>
      <w:r>
        <w:rPr>
          <w:rFonts w:hint="eastAsia"/>
          <w:b/>
          <w:bCs/>
          <w:color w:val="323232" w:themeColor="text1"/>
          <w:szCs w:val="21"/>
          <w14:textFill>
            <w14:solidFill>
              <w14:schemeClr w14:val="tx1"/>
            </w14:solidFill>
          </w14:textFill>
        </w:rPr>
        <w:t>4.2.6</w:t>
      </w:r>
      <w:r>
        <w:rPr>
          <w:rFonts w:hint="eastAsia"/>
          <w:color w:val="323232" w:themeColor="text1"/>
          <w:szCs w:val="21"/>
          <w14:textFill>
            <w14:solidFill>
              <w14:schemeClr w14:val="tx1"/>
            </w14:solidFill>
          </w14:textFill>
        </w:rPr>
        <w:t xml:space="preserve">  清除作业需进行降水施工时，</w:t>
      </w:r>
      <w:r>
        <w:rPr>
          <w:rFonts w:hint="eastAsia"/>
          <w:szCs w:val="21"/>
        </w:rPr>
        <w:t>宜对场地进行水文地质调查，查明地下水的类型、赋存状态、补给排泄条件及主要含水层的分布规律等资料。</w:t>
      </w:r>
    </w:p>
    <w:p>
      <w:pPr>
        <w:pStyle w:val="3"/>
        <w:rPr>
          <w:rFonts w:ascii="Times New Roman" w:hAnsi="Times New Roman"/>
          <w:color w:val="323232" w:themeColor="text1"/>
          <w14:textFill>
            <w14:solidFill>
              <w14:schemeClr w14:val="tx1"/>
            </w14:solidFill>
          </w14:textFill>
        </w:rPr>
      </w:pPr>
      <w:bookmarkStart w:id="392" w:name="_Toc30177"/>
      <w:bookmarkStart w:id="393" w:name="_Toc1424"/>
      <w:bookmarkStart w:id="394" w:name="_Toc25697"/>
      <w:bookmarkStart w:id="395" w:name="_Toc9146"/>
      <w:bookmarkStart w:id="396" w:name="_Toc29863"/>
      <w:bookmarkStart w:id="397" w:name="_Toc16424"/>
      <w:bookmarkStart w:id="398" w:name="_Toc7604"/>
      <w:bookmarkStart w:id="399" w:name="_Toc3059"/>
      <w:bookmarkStart w:id="400" w:name="_Toc4031"/>
      <w:bookmarkStart w:id="401" w:name="_Toc32234"/>
      <w:bookmarkStart w:id="402" w:name="_Toc21106"/>
      <w:r>
        <w:rPr>
          <w:rFonts w:hint="eastAsia" w:ascii="Times New Roman" w:hAnsi="Times New Roman"/>
          <w:color w:val="323232" w:themeColor="text1"/>
          <w14:textFill>
            <w14:solidFill>
              <w14:schemeClr w14:val="tx1"/>
            </w14:solidFill>
          </w14:textFill>
        </w:rPr>
        <w:t xml:space="preserve">4.3  </w:t>
      </w:r>
      <w:r>
        <w:rPr>
          <w:rFonts w:hint="eastAsia" w:ascii="黑体" w:hAnsi="黑体" w:eastAsia="黑体" w:cs="黑体"/>
          <w:b w:val="0"/>
          <w:bCs/>
          <w:color w:val="000000"/>
        </w:rPr>
        <w:t>既有桩基调查</w:t>
      </w:r>
      <w:bookmarkEnd w:id="392"/>
      <w:bookmarkEnd w:id="393"/>
      <w:bookmarkEnd w:id="394"/>
      <w:bookmarkEnd w:id="395"/>
      <w:bookmarkEnd w:id="396"/>
      <w:bookmarkEnd w:id="397"/>
      <w:bookmarkEnd w:id="398"/>
      <w:bookmarkEnd w:id="399"/>
      <w:bookmarkEnd w:id="400"/>
      <w:bookmarkEnd w:id="401"/>
      <w:bookmarkEnd w:id="402"/>
    </w:p>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4.3.1 </w:t>
      </w:r>
      <w:r>
        <w:rPr>
          <w:rFonts w:hint="eastAsia"/>
          <w:color w:val="323232" w:themeColor="text1"/>
          <w:szCs w:val="21"/>
          <w14:textFill>
            <w14:solidFill>
              <w14:schemeClr w14:val="tx1"/>
            </w14:solidFill>
          </w14:textFill>
        </w:rPr>
        <w:t xml:space="preserve"> 对已收集到的既有桩基资料，应分析验证其可靠性。需要进行现场验证时，验证根数不宜少于3根。若符合性较差则应扩大验证数量和范围。</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4.3.2  </w:t>
      </w:r>
      <w:r>
        <w:rPr>
          <w:rFonts w:hint="eastAsia"/>
          <w:color w:val="323232" w:themeColor="text1"/>
          <w:szCs w:val="21"/>
          <w14:textFill>
            <w14:solidFill>
              <w14:schemeClr w14:val="tx1"/>
            </w14:solidFill>
          </w14:textFill>
        </w:rPr>
        <w:t>资料无法收集齐全或资料与实际情况不符时，应进行</w:t>
      </w:r>
      <w:bookmarkStart w:id="403" w:name="_Hlk98542157"/>
      <w:r>
        <w:rPr>
          <w:rFonts w:hint="eastAsia"/>
          <w:color w:val="323232" w:themeColor="text1"/>
          <w:szCs w:val="21"/>
          <w14:textFill>
            <w14:solidFill>
              <w14:schemeClr w14:val="tx1"/>
            </w14:solidFill>
          </w14:textFill>
        </w:rPr>
        <w:t>现场调查</w:t>
      </w:r>
      <w:bookmarkEnd w:id="403"/>
      <w:r>
        <w:rPr>
          <w:rFonts w:hint="eastAsia"/>
          <w:color w:val="323232" w:themeColor="text1"/>
          <w:szCs w:val="21"/>
          <w14:textFill>
            <w14:solidFill>
              <w14:schemeClr w14:val="tx1"/>
            </w14:solidFill>
          </w14:textFill>
        </w:rPr>
        <w:t>。调</w:t>
      </w:r>
      <w:r>
        <w:rPr>
          <w:rFonts w:hint="eastAsia"/>
          <w:szCs w:val="21"/>
        </w:rPr>
        <w:t>查范围应</w:t>
      </w:r>
      <w:r>
        <w:rPr>
          <w:rFonts w:hint="eastAsia"/>
          <w:color w:val="323232" w:themeColor="text1"/>
          <w:szCs w:val="21"/>
          <w14:textFill>
            <w14:solidFill>
              <w14:schemeClr w14:val="tx1"/>
            </w14:solidFill>
          </w14:textFill>
        </w:rPr>
        <w:t>结合原有建筑及拟建建筑平面进行布置。</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4.3.3</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现场</w:t>
      </w:r>
      <w:r>
        <w:rPr>
          <w:rFonts w:hint="eastAsia"/>
          <w:color w:val="323232" w:themeColor="text1"/>
          <w:szCs w:val="21"/>
          <w:lang w:val="en-US" w:eastAsia="zh-CN"/>
          <w14:textFill>
            <w14:solidFill>
              <w14:schemeClr w14:val="tx1"/>
            </w14:solidFill>
          </w14:textFill>
        </w:rPr>
        <w:t>既有桩基</w:t>
      </w:r>
      <w:r>
        <w:rPr>
          <w:rFonts w:hint="eastAsia"/>
          <w:color w:val="323232" w:themeColor="text1"/>
          <w:szCs w:val="21"/>
          <w14:textFill>
            <w14:solidFill>
              <w14:schemeClr w14:val="tx1"/>
            </w14:solidFill>
          </w14:textFill>
        </w:rPr>
        <w:t>调查应包括：</w:t>
      </w:r>
    </w:p>
    <w:p>
      <w:pPr>
        <w:spacing w:beforeLines="0" w:afterLines="0"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w:t>
      </w:r>
      <w:r>
        <w:rPr>
          <w:color w:val="323232" w:themeColor="text1"/>
          <w:szCs w:val="21"/>
          <w14:textFill>
            <w14:solidFill>
              <w14:schemeClr w14:val="tx1"/>
            </w14:solidFill>
          </w14:textFill>
        </w:rPr>
        <w:t xml:space="preserve"> </w:t>
      </w:r>
      <w:r>
        <w:rPr>
          <w:rFonts w:hint="eastAsia"/>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桩基的位置、数量、承台连接情况、桩顶埋深、截面尺寸；</w:t>
      </w:r>
    </w:p>
    <w:p>
      <w:pPr>
        <w:spacing w:beforeLines="0" w:afterLines="0" w:line="360" w:lineRule="auto"/>
        <w:ind w:firstLine="422" w:firstLineChars="200"/>
        <w:rPr>
          <w:szCs w:val="21"/>
        </w:rPr>
      </w:pPr>
      <w:r>
        <w:rPr>
          <w:rFonts w:hint="eastAsia"/>
          <w:b/>
          <w:bCs/>
          <w:color w:val="323232" w:themeColor="text1"/>
          <w:szCs w:val="21"/>
          <w14:textFill>
            <w14:solidFill>
              <w14:schemeClr w14:val="tx1"/>
            </w14:solidFill>
          </w14:textFill>
        </w:rPr>
        <w:t>2</w:t>
      </w:r>
      <w:r>
        <w:rPr>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混凝土桩的材</w:t>
      </w:r>
      <w:r>
        <w:rPr>
          <w:rFonts w:hint="eastAsia"/>
          <w:szCs w:val="21"/>
        </w:rPr>
        <w:t>料强度、桩身完整性；</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szCs w:val="21"/>
        </w:rPr>
        <w:t>3</w:t>
      </w:r>
      <w:r>
        <w:rPr>
          <w:b/>
          <w:bCs/>
          <w:szCs w:val="21"/>
        </w:rPr>
        <w:t xml:space="preserve"> </w:t>
      </w:r>
      <w:r>
        <w:rPr>
          <w:rFonts w:hint="eastAsia"/>
          <w:b/>
          <w:bCs/>
          <w:szCs w:val="21"/>
          <w:lang w:val="en-US" w:eastAsia="zh-CN"/>
        </w:rPr>
        <w:t xml:space="preserve"> </w:t>
      </w:r>
      <w:r>
        <w:rPr>
          <w:rFonts w:hint="eastAsia"/>
          <w:color w:val="323232" w:themeColor="text1"/>
          <w:szCs w:val="21"/>
          <w14:textFill>
            <w14:solidFill>
              <w14:schemeClr w14:val="tx1"/>
            </w14:solidFill>
          </w14:textFill>
        </w:rPr>
        <w:t>混凝土桩中钢筋直径、数量、长度和锈蚀情况；</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4</w:t>
      </w:r>
      <w:r>
        <w:rPr>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钢桩长度；</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w:t>
      </w:r>
      <w:r>
        <w:rPr>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斜桩倾斜程度与方位。</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4.3.</w:t>
      </w:r>
      <w:r>
        <w:rPr>
          <w:b/>
          <w:bCs/>
          <w:color w:val="323232" w:themeColor="text1"/>
          <w:szCs w:val="21"/>
          <w14:textFill>
            <w14:solidFill>
              <w14:schemeClr w14:val="tx1"/>
            </w14:solidFill>
          </w14:textFill>
        </w:rPr>
        <w:t>4</w:t>
      </w:r>
      <w:r>
        <w:rPr>
          <w:rFonts w:hint="eastAsia"/>
          <w:color w:val="323232" w:themeColor="text1"/>
          <w:szCs w:val="21"/>
          <w14:textFill>
            <w14:solidFill>
              <w14:schemeClr w14:val="tx1"/>
            </w14:solidFill>
          </w14:textFill>
        </w:rPr>
        <w:t xml:space="preserve">  桩基的位置、数量、承台连接情况、桩顶埋深、截面尺寸可通过开挖检查。对清除区域内的既有桩基宜全数检查。</w:t>
      </w:r>
    </w:p>
    <w:p>
      <w:pPr>
        <w:spacing w:line="360" w:lineRule="auto"/>
        <w:rPr>
          <w:szCs w:val="21"/>
        </w:rPr>
      </w:pPr>
      <w:r>
        <w:rPr>
          <w:rFonts w:hint="eastAsia"/>
          <w:b/>
          <w:bCs/>
          <w:color w:val="323232" w:themeColor="text1"/>
          <w:szCs w:val="21"/>
          <w14:textFill>
            <w14:solidFill>
              <w14:schemeClr w14:val="tx1"/>
            </w14:solidFill>
          </w14:textFill>
        </w:rPr>
        <w:t>4.3.</w:t>
      </w:r>
      <w:r>
        <w:rPr>
          <w:b/>
          <w:bCs/>
          <w:color w:val="323232" w:themeColor="text1"/>
          <w:szCs w:val="21"/>
          <w14:textFill>
            <w14:solidFill>
              <w14:schemeClr w14:val="tx1"/>
            </w14:solidFill>
          </w14:textFill>
        </w:rPr>
        <w:t>5</w:t>
      </w:r>
      <w:r>
        <w:rPr>
          <w:rFonts w:hint="eastAsia"/>
          <w:color w:val="323232" w:themeColor="text1"/>
          <w:szCs w:val="21"/>
          <w14:textFill>
            <w14:solidFill>
              <w14:schemeClr w14:val="tx1"/>
            </w14:solidFill>
          </w14:textFill>
        </w:rPr>
        <w:t xml:space="preserve"> 混凝土桩的材</w:t>
      </w:r>
      <w:r>
        <w:rPr>
          <w:rFonts w:hint="eastAsia"/>
          <w:szCs w:val="21"/>
        </w:rPr>
        <w:t>料强度、桩身完整性的查验方法可按照现行行业标准《既有建筑地基基础检测技术标准》JGJ422的有关规定执行，查验数量不宜少于3根桩。</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4.3.</w:t>
      </w:r>
      <w:r>
        <w:rPr>
          <w:b/>
          <w:bCs/>
          <w:color w:val="323232" w:themeColor="text1"/>
          <w:szCs w:val="21"/>
          <w14:textFill>
            <w14:solidFill>
              <w14:schemeClr w14:val="tx1"/>
            </w14:solidFill>
          </w14:textFill>
        </w:rPr>
        <w:t>6</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混凝土桩中钢筋直径、数量、长度和锈蚀情况的检测方法可按照现行行业标准《混凝土中钢筋检测技术标准》JGJ </w:t>
      </w:r>
      <w:r>
        <w:rPr>
          <w:color w:val="323232" w:themeColor="text1"/>
          <w:szCs w:val="21"/>
          <w14:textFill>
            <w14:solidFill>
              <w14:schemeClr w14:val="tx1"/>
            </w14:solidFill>
          </w14:textFill>
        </w:rPr>
        <w:t>/</w:t>
      </w:r>
      <w:r>
        <w:rPr>
          <w:rFonts w:hint="eastAsia"/>
          <w:color w:val="323232" w:themeColor="text1"/>
          <w:szCs w:val="21"/>
          <w14:textFill>
            <w14:solidFill>
              <w14:schemeClr w14:val="tx1"/>
            </w14:solidFill>
          </w14:textFill>
        </w:rPr>
        <w:t>T152的有关规定执行，检测数量不宜少于3根桩。</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4</w:t>
      </w:r>
      <w:r>
        <w:rPr>
          <w:b/>
          <w:bCs/>
          <w:color w:val="323232" w:themeColor="text1"/>
          <w:szCs w:val="21"/>
          <w14:textFill>
            <w14:solidFill>
              <w14:schemeClr w14:val="tx1"/>
            </w14:solidFill>
          </w14:textFill>
        </w:rPr>
        <w:t>.</w:t>
      </w:r>
      <w:r>
        <w:rPr>
          <w:rFonts w:hint="eastAsia"/>
          <w:b/>
          <w:bCs/>
          <w:color w:val="323232" w:themeColor="text1"/>
          <w:szCs w:val="21"/>
          <w14:textFill>
            <w14:solidFill>
              <w14:schemeClr w14:val="tx1"/>
            </w14:solidFill>
          </w14:textFill>
        </w:rPr>
        <w:t>3</w:t>
      </w:r>
      <w:r>
        <w:rPr>
          <w:b/>
          <w:bCs/>
          <w:color w:val="323232" w:themeColor="text1"/>
          <w:szCs w:val="21"/>
          <w14:textFill>
            <w14:solidFill>
              <w14:schemeClr w14:val="tx1"/>
            </w14:solidFill>
          </w14:textFill>
        </w:rPr>
        <w:t>.7</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钢桩长度可采用磁测井法检测，锈蚀情况可采用自腐蚀电位法检测。检测数量不宜少于3根桩。</w:t>
      </w:r>
    </w:p>
    <w:p>
      <w:pPr>
        <w:spacing w:line="360" w:lineRule="auto"/>
        <w:rPr>
          <w:color w:val="323232" w:themeColor="text1"/>
          <w:sz w:val="24"/>
          <w14:textFill>
            <w14:solidFill>
              <w14:schemeClr w14:val="tx1"/>
            </w14:solidFill>
          </w14:textFill>
        </w:rPr>
        <w:sectPr>
          <w:pgSz w:w="7937" w:h="11906"/>
          <w:pgMar w:top="1134" w:right="1134" w:bottom="1134" w:left="1134" w:header="851" w:footer="992" w:gutter="0"/>
          <w:pgNumType w:fmt="decimal"/>
          <w:cols w:space="0" w:num="1"/>
          <w:docGrid w:type="lines" w:linePitch="312" w:charSpace="0"/>
        </w:sectPr>
      </w:pPr>
      <w:r>
        <w:rPr>
          <w:rFonts w:hint="eastAsia"/>
          <w:b/>
          <w:bCs/>
          <w:color w:val="323232" w:themeColor="text1"/>
          <w:szCs w:val="21"/>
          <w14:textFill>
            <w14:solidFill>
              <w14:schemeClr w14:val="tx1"/>
            </w14:solidFill>
          </w14:textFill>
        </w:rPr>
        <w:t>4.3.</w:t>
      </w:r>
      <w:r>
        <w:rPr>
          <w:b/>
          <w:bCs/>
          <w:color w:val="323232" w:themeColor="text1"/>
          <w:szCs w:val="21"/>
          <w14:textFill>
            <w14:solidFill>
              <w14:schemeClr w14:val="tx1"/>
            </w14:solidFill>
          </w14:textFill>
        </w:rPr>
        <w:t>8</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对于倾斜桩基，应查明桩基倾斜程度与方位。</w:t>
      </w:r>
    </w:p>
    <w:p>
      <w:pPr>
        <w:pStyle w:val="2"/>
        <w:pageBreakBefore/>
        <w:rPr>
          <w:rFonts w:eastAsia="黑体"/>
          <w:b w:val="0"/>
          <w:color w:val="323232" w:themeColor="text1"/>
          <w:sz w:val="32"/>
          <w:szCs w:val="32"/>
          <w14:textFill>
            <w14:solidFill>
              <w14:schemeClr w14:val="tx1"/>
            </w14:solidFill>
          </w14:textFill>
        </w:rPr>
      </w:pPr>
      <w:bookmarkStart w:id="404" w:name="_Toc22694"/>
      <w:bookmarkStart w:id="405" w:name="_Toc31058"/>
      <w:bookmarkStart w:id="406" w:name="_Toc6499"/>
      <w:bookmarkStart w:id="407" w:name="_Toc9929"/>
      <w:bookmarkStart w:id="408" w:name="_Toc7947"/>
      <w:bookmarkStart w:id="409" w:name="_Toc19942"/>
      <w:bookmarkStart w:id="410" w:name="_Toc32600"/>
      <w:bookmarkStart w:id="411" w:name="_Toc17028"/>
      <w:bookmarkStart w:id="412" w:name="_Toc25234"/>
      <w:bookmarkStart w:id="413" w:name="_Toc28019"/>
      <w:bookmarkStart w:id="414" w:name="_Toc13697"/>
      <w:bookmarkStart w:id="415" w:name="_Toc3793"/>
      <w:r>
        <w:rPr>
          <w:rFonts w:hint="eastAsia" w:eastAsia="黑体"/>
          <w:b/>
          <w:bCs/>
          <w:color w:val="323232" w:themeColor="text1"/>
          <w:sz w:val="32"/>
          <w:szCs w:val="32"/>
          <w14:textFill>
            <w14:solidFill>
              <w14:schemeClr w14:val="tx1"/>
            </w14:solidFill>
          </w14:textFill>
        </w:rPr>
        <w:t xml:space="preserve">5  </w:t>
      </w:r>
      <w:bookmarkEnd w:id="404"/>
      <w:r>
        <w:rPr>
          <w:rFonts w:hint="eastAsia" w:eastAsia="黑体"/>
          <w:b w:val="0"/>
          <w:color w:val="323232" w:themeColor="text1"/>
          <w:sz w:val="32"/>
          <w:szCs w:val="32"/>
          <w14:textFill>
            <w14:solidFill>
              <w14:schemeClr w14:val="tx1"/>
            </w14:solidFill>
          </w14:textFill>
        </w:rPr>
        <w:t>方案制定</w:t>
      </w:r>
      <w:bookmarkEnd w:id="405"/>
      <w:bookmarkEnd w:id="406"/>
      <w:bookmarkEnd w:id="407"/>
      <w:bookmarkEnd w:id="408"/>
      <w:bookmarkEnd w:id="409"/>
      <w:bookmarkEnd w:id="410"/>
      <w:bookmarkEnd w:id="411"/>
      <w:bookmarkEnd w:id="412"/>
      <w:bookmarkEnd w:id="413"/>
      <w:bookmarkEnd w:id="414"/>
      <w:bookmarkEnd w:id="415"/>
    </w:p>
    <w:p>
      <w:pPr>
        <w:pStyle w:val="3"/>
        <w:rPr>
          <w:rFonts w:ascii="黑体" w:hAnsi="黑体" w:eastAsia="黑体" w:cs="黑体"/>
          <w:b w:val="0"/>
          <w:bCs/>
          <w:color w:val="000000"/>
        </w:rPr>
      </w:pPr>
      <w:bookmarkStart w:id="416" w:name="_Toc25555"/>
      <w:bookmarkStart w:id="417" w:name="_Toc6120"/>
      <w:bookmarkStart w:id="418" w:name="_Toc32107"/>
      <w:bookmarkStart w:id="419" w:name="_Toc2206"/>
      <w:bookmarkStart w:id="420" w:name="_Toc7035"/>
      <w:bookmarkStart w:id="421" w:name="_Toc17701"/>
      <w:bookmarkStart w:id="422" w:name="_Toc17792"/>
      <w:bookmarkStart w:id="423" w:name="_Toc2342"/>
      <w:bookmarkStart w:id="424" w:name="_Toc22249"/>
      <w:bookmarkStart w:id="425" w:name="_Toc18835"/>
      <w:bookmarkStart w:id="426" w:name="_Toc27256"/>
      <w:bookmarkStart w:id="427" w:name="_Hlk96640601"/>
      <w:bookmarkStart w:id="428" w:name="_Toc4838"/>
      <w:r>
        <w:rPr>
          <w:rFonts w:hint="eastAsia" w:ascii="Times New Roman" w:hAnsi="Times New Roman"/>
          <w:color w:val="323232" w:themeColor="text1"/>
          <w14:textFill>
            <w14:solidFill>
              <w14:schemeClr w14:val="tx1"/>
            </w14:solidFill>
          </w14:textFill>
        </w:rPr>
        <w:t xml:space="preserve">5.1  </w:t>
      </w:r>
      <w:r>
        <w:rPr>
          <w:rFonts w:hint="eastAsia" w:ascii="黑体" w:hAnsi="黑体" w:eastAsia="黑体" w:cs="黑体"/>
          <w:b w:val="0"/>
          <w:bCs/>
          <w:color w:val="000000"/>
        </w:rPr>
        <w:t>方案</w:t>
      </w:r>
      <w:bookmarkEnd w:id="416"/>
      <w:r>
        <w:rPr>
          <w:rFonts w:hint="eastAsia" w:ascii="黑体" w:hAnsi="黑体" w:eastAsia="黑体" w:cs="黑体"/>
          <w:b w:val="0"/>
          <w:bCs/>
          <w:color w:val="000000"/>
        </w:rPr>
        <w:t>选择</w:t>
      </w:r>
      <w:bookmarkEnd w:id="417"/>
      <w:bookmarkEnd w:id="418"/>
      <w:bookmarkEnd w:id="419"/>
      <w:bookmarkEnd w:id="420"/>
      <w:bookmarkEnd w:id="421"/>
      <w:bookmarkEnd w:id="422"/>
      <w:bookmarkEnd w:id="423"/>
      <w:bookmarkEnd w:id="424"/>
      <w:bookmarkEnd w:id="425"/>
      <w:bookmarkEnd w:id="426"/>
    </w:p>
    <w:p>
      <w:pPr>
        <w:rPr>
          <w:rFonts w:ascii="Times New Roman" w:hAnsi="Times New Roman" w:eastAsia="黑体"/>
          <w:bCs/>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5.1.1  </w:t>
      </w:r>
      <w:r>
        <w:rPr>
          <w:rFonts w:hint="eastAsia"/>
          <w:color w:val="323232" w:themeColor="text1"/>
          <w:szCs w:val="21"/>
          <w14:textFill>
            <w14:solidFill>
              <w14:schemeClr w14:val="tx1"/>
            </w14:solidFill>
          </w14:textFill>
        </w:rPr>
        <w:t>既有桩基清除施工前，应编制专项方案。</w:t>
      </w:r>
    </w:p>
    <w:bookmarkEnd w:id="427"/>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5.1.</w:t>
      </w:r>
      <w:r>
        <w:rPr>
          <w:b/>
          <w:bCs/>
          <w:color w:val="323232" w:themeColor="text1"/>
          <w:szCs w:val="21"/>
          <w14:textFill>
            <w14:solidFill>
              <w14:schemeClr w14:val="tx1"/>
            </w14:solidFill>
          </w14:textFill>
        </w:rPr>
        <w:t>2</w:t>
      </w:r>
      <w:r>
        <w:rPr>
          <w:rFonts w:hint="eastAsia"/>
          <w:color w:val="323232" w:themeColor="text1"/>
          <w:szCs w:val="21"/>
          <w14:textFill>
            <w14:solidFill>
              <w14:schemeClr w14:val="tx1"/>
            </w14:solidFill>
          </w14:textFill>
        </w:rPr>
        <w:t xml:space="preserve"> 编制既有桩基清除方案所需要的基本资料应符合下列要求：</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1</w:t>
      </w:r>
      <w:r>
        <w:rPr>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已收集到的原场地岩土工程勘察资料；</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w:t>
      </w:r>
      <w:r>
        <w:rPr>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可能影响的临近建（构）筑物资料；</w:t>
      </w:r>
    </w:p>
    <w:p>
      <w:pPr>
        <w:spacing w:beforeLines="0" w:afterLines="0"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3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补充勘察资料；</w:t>
      </w:r>
    </w:p>
    <w:p>
      <w:pPr>
        <w:spacing w:beforeLines="0" w:afterLines="0"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4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既有桩基调查资料；</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w:t>
      </w:r>
      <w:r>
        <w:rPr>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拟建工程设计资料。</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5.1.</w:t>
      </w:r>
      <w:r>
        <w:rPr>
          <w:b/>
          <w:bCs/>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 xml:space="preserve">  既有桩基清除专项方案应包括下列内容：</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1</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清除范围、清除数量统计；</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2</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清除方法、清除施工工艺、计算书及相关资料；</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3</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所用设备规格与数量、施工组织架构、清除进度计划；</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4</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质量保证措施、安全保证措施、进度保证措施、可能影响的临近建（构）筑物等监测方案及保护预案、应急措施等；</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5</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清除结果评定。</w:t>
      </w:r>
    </w:p>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5.1.</w:t>
      </w:r>
      <w:r>
        <w:rPr>
          <w:b/>
          <w:bCs/>
          <w:color w:val="323232" w:themeColor="text1"/>
          <w:szCs w:val="21"/>
          <w14:textFill>
            <w14:solidFill>
              <w14:schemeClr w14:val="tx1"/>
            </w14:solidFill>
          </w14:textFill>
        </w:rPr>
        <w:t>4</w:t>
      </w:r>
      <w:r>
        <w:rPr>
          <w:rFonts w:hint="eastAsia"/>
          <w:color w:val="323232" w:themeColor="text1"/>
          <w:szCs w:val="21"/>
          <w14:textFill>
            <w14:solidFill>
              <w14:schemeClr w14:val="tx1"/>
            </w14:solidFill>
          </w14:textFill>
        </w:rPr>
        <w:t xml:space="preserve">  桩基清除方法及设备选择应根据工程地质与水文条件、场地环境、既有桩基现状、拟建工程设计要求、周边环境要求等因素综合确定。</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5.1.</w:t>
      </w:r>
      <w:bookmarkStart w:id="429" w:name="_Hlk96640549"/>
      <w:r>
        <w:rPr>
          <w:b/>
          <w:bCs/>
          <w:color w:val="323232" w:themeColor="text1"/>
          <w:szCs w:val="21"/>
          <w14:textFill>
            <w14:solidFill>
              <w14:schemeClr w14:val="tx1"/>
            </w14:solidFill>
          </w14:textFill>
        </w:rPr>
        <w:t>5</w:t>
      </w:r>
      <w:r>
        <w:rPr>
          <w:rFonts w:hint="eastAsia"/>
          <w:color w:val="323232" w:themeColor="text1"/>
          <w:szCs w:val="21"/>
          <w14:textFill>
            <w14:solidFill>
              <w14:schemeClr w14:val="tx1"/>
            </w14:solidFill>
          </w14:textFill>
        </w:rPr>
        <w:t xml:space="preserve"> 既有桩基清除可采用拔除法、破碎法。其中，拔除法依据拔除对象所处环境，可大致按如下所列条件选取静力直接拔除、振动拔除或桩周减阻后拔除：</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木桩、小直径单节混凝土预制桩等桩身较短、抗拔阻力较小的桩，可采用静力直接拔除；</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2</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抗拔阻力较小的钢桩，可采用振动拔除；</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3</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抗拔阻力较大的钢桩、灌注桩、非单节木桩和混凝土预制桩等宜采用桩周取土、水（气）切割、下套管等减小桩周阻力的拔除方法</w:t>
      </w:r>
      <w:r>
        <w:rPr>
          <w:rFonts w:hint="eastAsia"/>
          <w:color w:val="323232" w:themeColor="text1"/>
          <w:szCs w:val="21"/>
          <w:lang w:eastAsia="zh-CN"/>
          <w14:textFill>
            <w14:solidFill>
              <w14:schemeClr w14:val="tx1"/>
            </w14:solidFill>
          </w14:textFill>
        </w:rPr>
        <w:t>；</w:t>
      </w:r>
    </w:p>
    <w:p>
      <w:pPr>
        <w:spacing w:line="360" w:lineRule="auto"/>
        <w:ind w:firstLine="422" w:firstLineChars="200"/>
        <w:rPr>
          <w:color w:val="auto"/>
          <w:szCs w:val="21"/>
        </w:rPr>
      </w:pPr>
      <w:r>
        <w:rPr>
          <w:rFonts w:hint="eastAsia"/>
          <w:b/>
          <w:bCs/>
          <w:color w:val="323232" w:themeColor="text1"/>
          <w:szCs w:val="21"/>
          <w14:textFill>
            <w14:solidFill>
              <w14:schemeClr w14:val="tx1"/>
            </w14:solidFill>
          </w14:textFill>
        </w:rPr>
        <w:t>4</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斜桩的拔除可选用带倾角调节装置的全回转钻机，自动测定斜桩斜率，引导套管沿桩体斜向下沉，通过套管减阻后实现斜向一次性整桩拔除。</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5.1.6 </w:t>
      </w:r>
      <w:r>
        <w:rPr>
          <w:rFonts w:hint="eastAsia"/>
          <w:color w:val="323232" w:themeColor="text1"/>
          <w:szCs w:val="21"/>
          <w14:textFill>
            <w14:solidFill>
              <w14:schemeClr w14:val="tx1"/>
            </w14:solidFill>
          </w14:textFill>
        </w:rPr>
        <w:t>破碎法适用于桩身抗拉强度低、桩身较长或桩侧阻力较大的既有桩基。</w:t>
      </w:r>
      <w:bookmarkEnd w:id="429"/>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5.1.</w:t>
      </w:r>
      <w:r>
        <w:rPr>
          <w:b/>
          <w:bCs/>
          <w:color w:val="323232" w:themeColor="text1"/>
          <w:szCs w:val="21"/>
          <w14:textFill>
            <w14:solidFill>
              <w14:schemeClr w14:val="tx1"/>
            </w14:solidFill>
          </w14:textFill>
        </w:rPr>
        <w:t>7</w:t>
      </w:r>
      <w:r>
        <w:rPr>
          <w:rFonts w:hint="eastAsia"/>
          <w:color w:val="323232" w:themeColor="text1"/>
          <w:szCs w:val="21"/>
          <w14:textFill>
            <w14:solidFill>
              <w14:schemeClr w14:val="tx1"/>
            </w14:solidFill>
          </w14:textFill>
        </w:rPr>
        <w:t xml:space="preserve"> 方案制定后，在正式施工前宜进行试清除，以确定其适用性。</w:t>
      </w:r>
    </w:p>
    <w:p>
      <w:pPr>
        <w:pStyle w:val="3"/>
        <w:rPr>
          <w:b w:val="0"/>
          <w:color w:val="323232" w:themeColor="text1"/>
          <w14:textFill>
            <w14:solidFill>
              <w14:schemeClr w14:val="tx1"/>
            </w14:solidFill>
          </w14:textFill>
        </w:rPr>
      </w:pPr>
      <w:bookmarkStart w:id="430" w:name="_Toc27699"/>
      <w:bookmarkStart w:id="431" w:name="_Toc17492"/>
      <w:bookmarkStart w:id="432" w:name="_Toc4104"/>
      <w:bookmarkStart w:id="433" w:name="_Toc26217"/>
      <w:bookmarkStart w:id="434" w:name="_Toc27476"/>
      <w:bookmarkStart w:id="435" w:name="_Toc11687"/>
      <w:bookmarkStart w:id="436" w:name="_Toc2805"/>
      <w:bookmarkStart w:id="437" w:name="_Toc24892"/>
      <w:bookmarkStart w:id="438" w:name="_Toc4378"/>
      <w:bookmarkStart w:id="439" w:name="_Toc30620"/>
      <w:bookmarkStart w:id="440" w:name="_Toc13876"/>
      <w:r>
        <w:rPr>
          <w:rFonts w:hint="eastAsia" w:ascii="Times New Roman" w:hAnsi="Times New Roman"/>
          <w:color w:val="323232" w:themeColor="text1"/>
          <w14:textFill>
            <w14:solidFill>
              <w14:schemeClr w14:val="tx1"/>
            </w14:solidFill>
          </w14:textFill>
        </w:rPr>
        <w:t>5.2</w:t>
      </w:r>
      <w:r>
        <w:rPr>
          <w:rFonts w:ascii="Times New Roman" w:hAnsi="Times New Roman"/>
          <w:color w:val="323232" w:themeColor="text1"/>
          <w14:textFill>
            <w14:solidFill>
              <w14:schemeClr w14:val="tx1"/>
            </w14:solidFill>
          </w14:textFill>
        </w:rPr>
        <w:t xml:space="preserve"> </w:t>
      </w:r>
      <w:r>
        <w:rPr>
          <w:rFonts w:hint="eastAsia"/>
          <w:color w:val="323232" w:themeColor="text1"/>
          <w14:textFill>
            <w14:solidFill>
              <w14:schemeClr w14:val="tx1"/>
            </w14:solidFill>
          </w14:textFill>
        </w:rPr>
        <w:t xml:space="preserve"> </w:t>
      </w:r>
      <w:bookmarkEnd w:id="428"/>
      <w:r>
        <w:rPr>
          <w:rFonts w:hint="eastAsia" w:ascii="黑体" w:hAnsi="黑体" w:eastAsia="黑体" w:cs="黑体"/>
          <w:b w:val="0"/>
          <w:bCs/>
          <w:color w:val="000000"/>
        </w:rPr>
        <w:t>清除范围</w:t>
      </w:r>
      <w:bookmarkEnd w:id="430"/>
      <w:bookmarkEnd w:id="431"/>
      <w:bookmarkEnd w:id="432"/>
      <w:bookmarkEnd w:id="433"/>
      <w:bookmarkEnd w:id="434"/>
      <w:bookmarkEnd w:id="435"/>
      <w:bookmarkEnd w:id="436"/>
      <w:bookmarkEnd w:id="437"/>
      <w:bookmarkEnd w:id="438"/>
      <w:bookmarkEnd w:id="439"/>
      <w:bookmarkEnd w:id="440"/>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5.2.1</w:t>
      </w:r>
      <w:r>
        <w:rPr>
          <w:rFonts w:hint="eastAsia"/>
          <w:color w:val="323232" w:themeColor="text1"/>
          <w:szCs w:val="21"/>
          <w14:textFill>
            <w14:solidFill>
              <w14:schemeClr w14:val="tx1"/>
            </w14:solidFill>
          </w14:textFill>
        </w:rPr>
        <w:t xml:space="preserve">  既有桩基清除可采取整片清除或局部清除。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5.2.2</w:t>
      </w:r>
      <w:r>
        <w:rPr>
          <w:rFonts w:hint="eastAsia"/>
          <w:color w:val="323232" w:themeColor="text1"/>
          <w:szCs w:val="21"/>
          <w14:textFill>
            <w14:solidFill>
              <w14:schemeClr w14:val="tx1"/>
            </w14:solidFill>
          </w14:textFill>
        </w:rPr>
        <w:t xml:space="preserve">  平面清除范围应符合下列规定：</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1</w:t>
      </w:r>
      <w:r>
        <w:rPr>
          <w:rFonts w:hint="eastAsia"/>
          <w:color w:val="323232" w:themeColor="text1"/>
          <w:szCs w:val="21"/>
          <w14:textFill>
            <w14:solidFill>
              <w14:schemeClr w14:val="tx1"/>
            </w14:solidFill>
          </w14:textFill>
        </w:rPr>
        <w:t xml:space="preserve">  整体清除时，清除范围应超出拟建工程基础外边缘不小于2m；</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 xml:space="preserve"> 局部清除时，清除范围应超出基础底面边缘不小于1m。</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5.2.3</w:t>
      </w:r>
      <w:r>
        <w:rPr>
          <w:rFonts w:hint="eastAsia"/>
          <w:color w:val="323232" w:themeColor="text1"/>
          <w:szCs w:val="21"/>
          <w14:textFill>
            <w14:solidFill>
              <w14:schemeClr w14:val="tx1"/>
            </w14:solidFill>
          </w14:textFill>
        </w:rPr>
        <w:t xml:space="preserve"> 竖向清除范围应符合下列规定：</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拟建工程采用桩基础时，应将既有桩基整根清除，嵌岩桩可清除至岩面；</w:t>
      </w:r>
    </w:p>
    <w:p>
      <w:pPr>
        <w:spacing w:beforeLines="0" w:afterLines="0"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拟建工程采用扩展基础或筏板基础时，可仅清除至基础底面以下0.5m；需要消除既有桩基引起的不均匀沉降时，应清除至沉降影响范围以下，且不小于地基压缩层深度的2/3。</w:t>
      </w:r>
    </w:p>
    <w:p>
      <w:pPr>
        <w:pStyle w:val="3"/>
        <w:rPr>
          <w:rFonts w:ascii="Times New Roman" w:hAnsi="Times New Roman"/>
          <w:color w:val="323232" w:themeColor="text1"/>
          <w14:textFill>
            <w14:solidFill>
              <w14:schemeClr w14:val="tx1"/>
            </w14:solidFill>
          </w14:textFill>
        </w:rPr>
      </w:pPr>
      <w:bookmarkStart w:id="441" w:name="_Toc28831"/>
      <w:bookmarkStart w:id="442" w:name="_Toc13479"/>
      <w:bookmarkStart w:id="443" w:name="_Toc1417"/>
      <w:bookmarkStart w:id="444" w:name="_Toc21037"/>
      <w:bookmarkStart w:id="445" w:name="_Toc12191"/>
      <w:bookmarkStart w:id="446" w:name="_Toc17494"/>
      <w:bookmarkStart w:id="447" w:name="_Toc24706"/>
      <w:bookmarkStart w:id="448" w:name="_Toc9654"/>
      <w:bookmarkStart w:id="449" w:name="_Toc21131"/>
      <w:bookmarkStart w:id="450" w:name="_Toc11161"/>
      <w:bookmarkStart w:id="451" w:name="_Toc13238"/>
      <w:bookmarkStart w:id="452" w:name="_Hlk96639990"/>
      <w:bookmarkStart w:id="453" w:name="_Toc14698"/>
      <w:r>
        <w:rPr>
          <w:rFonts w:hint="eastAsia" w:ascii="Times New Roman" w:hAnsi="Times New Roman"/>
          <w:color w:val="323232" w:themeColor="text1"/>
          <w14:textFill>
            <w14:solidFill>
              <w14:schemeClr w14:val="tx1"/>
            </w14:solidFill>
          </w14:textFill>
        </w:rPr>
        <w:t xml:space="preserve">5.3  </w:t>
      </w:r>
      <w:r>
        <w:rPr>
          <w:rFonts w:hint="eastAsia" w:ascii="黑体" w:hAnsi="黑体" w:eastAsia="黑体" w:cs="黑体"/>
          <w:b w:val="0"/>
          <w:bCs/>
          <w:color w:val="000000"/>
        </w:rPr>
        <w:t>分析计算</w:t>
      </w:r>
      <w:bookmarkEnd w:id="441"/>
      <w:bookmarkEnd w:id="442"/>
      <w:bookmarkEnd w:id="443"/>
      <w:bookmarkEnd w:id="444"/>
      <w:bookmarkEnd w:id="445"/>
      <w:bookmarkEnd w:id="446"/>
      <w:bookmarkEnd w:id="447"/>
      <w:bookmarkEnd w:id="448"/>
      <w:bookmarkEnd w:id="449"/>
      <w:bookmarkEnd w:id="450"/>
      <w:bookmarkEnd w:id="451"/>
    </w:p>
    <w:bookmarkEnd w:id="452"/>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5.3.1  </w:t>
      </w:r>
      <w:r>
        <w:rPr>
          <w:rFonts w:hint="eastAsia"/>
          <w:color w:val="323232" w:themeColor="text1"/>
          <w:szCs w:val="21"/>
          <w14:textFill>
            <w14:solidFill>
              <w14:schemeClr w14:val="tx1"/>
            </w14:solidFill>
          </w14:textFill>
        </w:rPr>
        <w:t>采用拔除法时应验算桩身的抗拔强度。当其抗拔强度小于拔桩阻力时，应采取减阻措施避免桩身拔断。</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5.3.2 </w:t>
      </w:r>
      <w:r>
        <w:rPr>
          <w:rFonts w:hint="eastAsia"/>
          <w:color w:val="323232" w:themeColor="text1"/>
          <w:szCs w:val="21"/>
          <w14:textFill>
            <w14:solidFill>
              <w14:schemeClr w14:val="tx1"/>
            </w14:solidFill>
          </w14:textFill>
        </w:rPr>
        <w:t xml:space="preserve"> 拔桩阻力</w:t>
      </w:r>
      <w:r>
        <w:rPr>
          <w:rFonts w:hint="eastAsia"/>
          <w:i/>
          <w:iCs/>
          <w:color w:val="323232" w:themeColor="text1"/>
          <w:szCs w:val="21"/>
          <w14:textFill>
            <w14:solidFill>
              <w14:schemeClr w14:val="tx1"/>
            </w14:solidFill>
          </w14:textFill>
        </w:rPr>
        <w:t>F</w:t>
      </w:r>
      <w:r>
        <w:rPr>
          <w:rFonts w:hint="eastAsia"/>
          <w:color w:val="323232" w:themeColor="text1"/>
          <w:szCs w:val="21"/>
          <w14:textFill>
            <w14:solidFill>
              <w14:schemeClr w14:val="tx1"/>
            </w14:solidFill>
          </w14:textFill>
        </w:rPr>
        <w:t>包括桩与土的侧阻力</w:t>
      </w:r>
      <w:r>
        <w:rPr>
          <w:rFonts w:hint="eastAsia"/>
          <w:i/>
          <w:iCs/>
          <w:color w:val="323232" w:themeColor="text1"/>
          <w:szCs w:val="21"/>
          <w14:textFill>
            <w14:solidFill>
              <w14:schemeClr w14:val="tx1"/>
            </w14:solidFill>
          </w14:textFill>
        </w:rPr>
        <w:t>F</w:t>
      </w:r>
      <w:r>
        <w:rPr>
          <w:rFonts w:hint="eastAsia"/>
          <w:i/>
          <w:iCs/>
          <w:color w:val="323232" w:themeColor="text1"/>
          <w:szCs w:val="21"/>
          <w:vertAlign w:val="subscript"/>
          <w14:textFill>
            <w14:solidFill>
              <w14:schemeClr w14:val="tx1"/>
            </w14:solidFill>
          </w14:textFill>
        </w:rPr>
        <w:t>e</w:t>
      </w:r>
      <w:r>
        <w:rPr>
          <w:rFonts w:hint="eastAsia"/>
          <w:color w:val="323232" w:themeColor="text1"/>
          <w:szCs w:val="21"/>
          <w14:textFill>
            <w14:solidFill>
              <w14:schemeClr w14:val="tx1"/>
            </w14:solidFill>
          </w14:textFill>
        </w:rPr>
        <w:t>及桩与土的侧面摩擦力</w:t>
      </w:r>
      <w:r>
        <w:rPr>
          <w:rFonts w:hint="eastAsia"/>
          <w:i/>
          <w:iCs/>
          <w:color w:val="323232" w:themeColor="text1"/>
          <w:szCs w:val="21"/>
          <w14:textFill>
            <w14:solidFill>
              <w14:schemeClr w14:val="tx1"/>
            </w14:solidFill>
          </w14:textFill>
        </w:rPr>
        <w:t>F</w:t>
      </w:r>
      <w:r>
        <w:rPr>
          <w:rFonts w:hint="eastAsia"/>
          <w:i/>
          <w:iCs/>
          <w:color w:val="323232" w:themeColor="text1"/>
          <w:szCs w:val="21"/>
          <w:vertAlign w:val="subscript"/>
          <w14:textFill>
            <w14:solidFill>
              <w14:schemeClr w14:val="tx1"/>
            </w14:solidFill>
          </w14:textFill>
        </w:rPr>
        <w:t>s</w:t>
      </w:r>
      <w:r>
        <w:rPr>
          <w:rFonts w:hint="eastAsia"/>
          <w:color w:val="323232" w:themeColor="text1"/>
          <w:szCs w:val="21"/>
          <w14:textFill>
            <w14:solidFill>
              <w14:schemeClr w14:val="tx1"/>
            </w14:solidFill>
          </w14:textFill>
        </w:rPr>
        <w:t>以及桩身自重，可按下式计算：</w:t>
      </w:r>
    </w:p>
    <w:p>
      <w:pPr>
        <w:spacing w:line="360" w:lineRule="auto"/>
        <w:rPr>
          <w:color w:val="323232" w:themeColor="text1"/>
          <w:szCs w:val="21"/>
          <w14:textFill>
            <w14:solidFill>
              <w14:schemeClr w14:val="tx1"/>
            </w14:solidFill>
          </w14:textFill>
        </w:rPr>
      </w:pPr>
      <w:r>
        <w:rPr>
          <w:rFonts w:hint="eastAsia"/>
          <w:color w:val="323232" w:themeColor="text1"/>
          <w:position w:val="-12"/>
          <w:szCs w:val="21"/>
          <w14:textFill>
            <w14:solidFill>
              <w14:schemeClr w14:val="tx1"/>
            </w14:solidFill>
          </w14:textFill>
        </w:rPr>
        <w:t xml:space="preserve">               </w:t>
      </w:r>
      <w:r>
        <w:rPr>
          <w:rFonts w:hint="eastAsia"/>
          <w:color w:val="323232" w:themeColor="text1"/>
          <w:position w:val="-12"/>
          <w:szCs w:val="21"/>
          <w14:textFill>
            <w14:solidFill>
              <w14:schemeClr w14:val="tx1"/>
            </w14:solidFill>
          </w14:textFill>
        </w:rPr>
        <w:object>
          <v:shape id="_x0000_i1025" o:spt="75" type="#_x0000_t75" style="height:18pt;width:78pt;" o:ole="t" filled="f" o:preferrelative="t" stroked="f" coordsize="21600,21600">
            <v:path/>
            <v:fill on="f" focussize="0,0"/>
            <v:stroke on="f" joinstyle="miter"/>
            <v:imagedata r:id="rId8" o:title=""/>
            <o:lock v:ext="edit" aspectratio="t"/>
            <w10:wrap type="none"/>
            <w10:anchorlock/>
          </v:shape>
          <o:OLEObject Type="Embed" ProgID="Equation.3" ShapeID="_x0000_i1025" DrawAspect="Content" ObjectID="_1468075725" r:id="rId7">
            <o:LockedField>false</o:LockedField>
          </o:OLEObject>
        </w:object>
      </w:r>
      <w:r>
        <w:rPr>
          <w:rFonts w:hint="eastAsia"/>
          <w:color w:val="323232" w:themeColor="text1"/>
          <w:position w:val="-12"/>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（5.3.2）</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式中：</w:t>
      </w:r>
      <w:r>
        <w:rPr>
          <w:rFonts w:hint="eastAsia"/>
          <w:i/>
          <w:iCs/>
          <w:color w:val="323232" w:themeColor="text1"/>
          <w:szCs w:val="21"/>
          <w14:textFill>
            <w14:solidFill>
              <w14:schemeClr w14:val="tx1"/>
            </w14:solidFill>
          </w14:textFill>
        </w:rPr>
        <w:t>F</w:t>
      </w:r>
      <w:r>
        <w:rPr>
          <w:rFonts w:hint="eastAsia"/>
          <w:i/>
          <w:iCs/>
          <w:color w:val="323232" w:themeColor="text1"/>
          <w:szCs w:val="21"/>
          <w:vertAlign w:val="subscript"/>
          <w14:textFill>
            <w14:solidFill>
              <w14:schemeClr w14:val="tx1"/>
            </w14:solidFill>
          </w14:textFill>
        </w:rPr>
        <w:t>e</w:t>
      </w:r>
      <w:r>
        <w:rPr>
          <w:rFonts w:hint="eastAsia"/>
          <w:color w:val="323232" w:themeColor="text1"/>
          <w:szCs w:val="21"/>
          <w14:textFill>
            <w14:solidFill>
              <w14:schemeClr w14:val="tx1"/>
            </w14:solidFill>
          </w14:textFill>
        </w:rPr>
        <w:t>——桩与土的侧阻力（kN）；</w:t>
      </w:r>
    </w:p>
    <w:p>
      <w:pPr>
        <w:spacing w:beforeLines="0" w:afterLines="0" w:line="360" w:lineRule="auto"/>
        <w:ind w:left="0" w:leftChars="0" w:firstLine="1050" w:firstLineChars="5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F</w:t>
      </w:r>
      <w:r>
        <w:rPr>
          <w:rFonts w:hint="eastAsia"/>
          <w:i/>
          <w:iCs/>
          <w:color w:val="323232" w:themeColor="text1"/>
          <w:szCs w:val="21"/>
          <w:vertAlign w:val="subscript"/>
          <w14:textFill>
            <w14:solidFill>
              <w14:schemeClr w14:val="tx1"/>
            </w14:solidFill>
          </w14:textFill>
        </w:rPr>
        <w:t>s</w:t>
      </w:r>
      <w:r>
        <w:rPr>
          <w:rFonts w:hint="eastAsia"/>
          <w:color w:val="323232" w:themeColor="text1"/>
          <w:szCs w:val="21"/>
          <w14:textFill>
            <w14:solidFill>
              <w14:schemeClr w14:val="tx1"/>
            </w14:solidFill>
          </w14:textFill>
        </w:rPr>
        <w:t>——桩与土的侧面摩擦力，kN，仅基坑支护等土对桩基形成半包围构造时考虑，此时该部分桩基呈悬臂结构；</w:t>
      </w:r>
    </w:p>
    <w:p>
      <w:pPr>
        <w:spacing w:line="360" w:lineRule="auto"/>
        <w:ind w:firstLine="1050" w:firstLineChars="5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G</w:t>
      </w:r>
      <w:r>
        <w:rPr>
          <w:rFonts w:hint="eastAsia"/>
          <w:color w:val="323232" w:themeColor="text1"/>
          <w:szCs w:val="21"/>
          <w14:textFill>
            <w14:solidFill>
              <w14:schemeClr w14:val="tx1"/>
            </w14:solidFill>
          </w14:textFill>
        </w:rPr>
        <w:t>——桩基自重（kN）。</w:t>
      </w:r>
    </w:p>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5.3.3</w:t>
      </w:r>
      <w:r>
        <w:rPr>
          <w:rFonts w:hint="eastAsia"/>
          <w:color w:val="323232" w:themeColor="text1"/>
          <w:szCs w:val="21"/>
          <w14:textFill>
            <w14:solidFill>
              <w14:schemeClr w14:val="tx1"/>
            </w14:solidFill>
          </w14:textFill>
        </w:rPr>
        <w:t xml:space="preserve">  桩与土的侧阻力按下式计算：</w:t>
      </w:r>
    </w:p>
    <w:p>
      <w:pPr>
        <w:spacing w:line="360" w:lineRule="auto"/>
        <w:rPr>
          <w:rFonts w:ascii="宋体" w:hAnsi="宋体" w:cs="宋体"/>
          <w:color w:val="323232" w:themeColor="text1"/>
          <w:szCs w:val="21"/>
          <w14:textFill>
            <w14:solidFill>
              <w14:schemeClr w14:val="tx1"/>
            </w14:solidFill>
          </w14:textFill>
        </w:rPr>
      </w:pPr>
      <w:r>
        <w:rPr>
          <w:rFonts w:hint="eastAsia"/>
          <w:color w:val="323232" w:themeColor="text1"/>
          <w:position w:val="-14"/>
          <w:szCs w:val="21"/>
          <w14:textFill>
            <w14:solidFill>
              <w14:schemeClr w14:val="tx1"/>
            </w14:solidFill>
          </w14:textFill>
        </w:rPr>
        <w:t xml:space="preserve">                  </w:t>
      </w:r>
      <w:r>
        <w:rPr>
          <w:rFonts w:hint="eastAsia"/>
          <w:color w:val="323232" w:themeColor="text1"/>
          <w:position w:val="-14"/>
          <w:szCs w:val="21"/>
          <w14:textFill>
            <w14:solidFill>
              <w14:schemeClr w14:val="tx1"/>
            </w14:solidFill>
          </w14:textFill>
        </w:rPr>
        <w:object>
          <v:shape id="_x0000_i1026" o:spt="75" type="#_x0000_t75" style="height:20.4pt;width:75.6pt;" o:ole="t" filled="f" o:preferrelative="t" stroked="f" coordsize="21600,21600">
            <v:path/>
            <v:fill on="f" focussize="0,0"/>
            <v:stroke on="f" joinstyle="miter"/>
            <v:imagedata r:id="rId10" o:title=""/>
            <o:lock v:ext="edit" aspectratio="t"/>
            <w10:wrap type="none"/>
            <w10:anchorlock/>
          </v:shape>
          <o:OLEObject Type="Embed" ProgID="Equation.3" ShapeID="_x0000_i1026" DrawAspect="Content" ObjectID="_1468075726" r:id="rId9">
            <o:LockedField>false</o:LockedField>
          </o:OLEObject>
        </w:object>
      </w:r>
      <w:r>
        <w:rPr>
          <w:rFonts w:hint="eastAsia"/>
          <w:color w:val="323232" w:themeColor="text1"/>
          <w:position w:val="-14"/>
          <w:szCs w:val="21"/>
          <w14:textFill>
            <w14:solidFill>
              <w14:schemeClr w14:val="tx1"/>
            </w14:solidFill>
          </w14:textFill>
        </w:rPr>
        <w:t xml:space="preserve">        </w:t>
      </w:r>
      <w:r>
        <w:rPr>
          <w:rFonts w:hint="eastAsia" w:ascii="宋体" w:hAnsi="宋体" w:cs="宋体"/>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（5.3.3）</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式中：</w:t>
      </w:r>
      <w:r>
        <w:rPr>
          <w:i/>
          <w:iCs/>
          <w:color w:val="323232" w:themeColor="text1"/>
          <w:szCs w:val="21"/>
          <w14:textFill>
            <w14:solidFill>
              <w14:schemeClr w14:val="tx1"/>
            </w14:solidFill>
          </w14:textFill>
        </w:rPr>
        <w:t>η</w:t>
      </w:r>
      <w:r>
        <w:rPr>
          <w:rFonts w:hint="eastAsia" w:ascii="宋体" w:hAnsi="宋体" w:cs="宋体"/>
          <w:color w:val="323232" w:themeColor="text1"/>
          <w:szCs w:val="21"/>
          <w14:textFill>
            <w14:solidFill>
              <w14:schemeClr w14:val="tx1"/>
            </w14:solidFill>
          </w14:textFill>
        </w:rPr>
        <w:t>——减阻系数。未采用减阻技术时取</w:t>
      </w:r>
      <w:r>
        <w:rPr>
          <w:color w:val="323232" w:themeColor="text1"/>
          <w:szCs w:val="21"/>
          <w14:textFill>
            <w14:solidFill>
              <w14:schemeClr w14:val="tx1"/>
            </w14:solidFill>
          </w14:textFill>
        </w:rPr>
        <w:t>1，桩周</w:t>
      </w:r>
      <w:r>
        <w:rPr>
          <w:rFonts w:hint="eastAsia" w:ascii="宋体" w:hAnsi="宋体" w:cs="宋体"/>
          <w:color w:val="323232" w:themeColor="text1"/>
          <w:szCs w:val="21"/>
          <w14:textFill>
            <w14:solidFill>
              <w14:schemeClr w14:val="tx1"/>
            </w14:solidFill>
          </w14:textFill>
        </w:rPr>
        <w:t>取土减阻时取土部分取</w:t>
      </w:r>
      <w:r>
        <w:rPr>
          <w:color w:val="323232" w:themeColor="text1"/>
          <w:szCs w:val="21"/>
          <w14:textFill>
            <w14:solidFill>
              <w14:schemeClr w14:val="tx1"/>
            </w14:solidFill>
          </w14:textFill>
        </w:rPr>
        <w:t>0</w:t>
      </w:r>
      <w:r>
        <w:rPr>
          <w:rFonts w:hint="eastAsia" w:ascii="宋体" w:hAnsi="宋体" w:cs="宋体"/>
          <w:color w:val="323232" w:themeColor="text1"/>
          <w:szCs w:val="21"/>
          <w14:textFill>
            <w14:solidFill>
              <w14:schemeClr w14:val="tx1"/>
            </w14:solidFill>
          </w14:textFill>
        </w:rPr>
        <w:t>，套管减阻、高压射水（气）等</w:t>
      </w:r>
      <w:r>
        <w:rPr>
          <w:color w:val="323232" w:themeColor="text1"/>
          <w:szCs w:val="21"/>
          <w14:textFill>
            <w14:solidFill>
              <w14:schemeClr w14:val="tx1"/>
            </w14:solidFill>
          </w14:textFill>
        </w:rPr>
        <w:t>减阻方法取0~1之间</w:t>
      </w:r>
      <w:r>
        <w:rPr>
          <w:rFonts w:hint="eastAsia"/>
          <w:color w:val="323232" w:themeColor="text1"/>
          <w:szCs w:val="21"/>
          <w14:textFill>
            <w14:solidFill>
              <w14:schemeClr w14:val="tx1"/>
            </w14:solidFill>
          </w14:textFill>
        </w:rPr>
        <w:t>；</w:t>
      </w:r>
    </w:p>
    <w:p>
      <w:pPr>
        <w:adjustRightInd w:val="0"/>
        <w:snapToGrid w:val="0"/>
        <w:spacing w:line="360" w:lineRule="auto"/>
        <w:ind w:firstLine="1050" w:firstLineChars="500"/>
        <w:jc w:val="left"/>
        <w:rPr>
          <w:color w:val="323232" w:themeColor="text1"/>
          <w:szCs w:val="21"/>
          <w14:textFill>
            <w14:solidFill>
              <w14:schemeClr w14:val="tx1"/>
            </w14:solidFill>
          </w14:textFill>
        </w:rPr>
      </w:pPr>
      <w:r>
        <w:rPr>
          <w:i/>
          <w:iCs/>
          <w:color w:val="323232" w:themeColor="text1"/>
          <w:szCs w:val="21"/>
          <w14:textFill>
            <w14:solidFill>
              <w14:schemeClr w14:val="tx1"/>
            </w14:solidFill>
          </w14:textFill>
        </w:rPr>
        <w:t>λ</w:t>
      </w:r>
      <w:r>
        <w:rPr>
          <w:rFonts w:hint="eastAsia" w:ascii="宋体" w:hAnsi="宋体" w:cs="宋体"/>
          <w:i/>
          <w:iCs/>
          <w:color w:val="323232" w:themeColor="text1"/>
          <w:szCs w:val="21"/>
          <w:vertAlign w:val="subscript"/>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w:t>
      </w:r>
      <w:r>
        <w:rPr>
          <w:rFonts w:hint="eastAsia"/>
          <w:color w:val="323232" w:themeColor="text1"/>
          <w:szCs w:val="21"/>
          <w14:textFill>
            <w14:solidFill>
              <w14:schemeClr w14:val="tx1"/>
            </w14:solidFill>
          </w14:textFill>
        </w:rPr>
        <w:t>—抗拔系数；可按表5.3.</w:t>
      </w:r>
      <w:r>
        <w:rPr>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-1取值。</w:t>
      </w:r>
    </w:p>
    <w:p>
      <w:pPr>
        <w:spacing w:line="360" w:lineRule="auto"/>
        <w:ind w:firstLine="1050" w:firstLineChars="5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u</w:t>
      </w:r>
      <w:r>
        <w:rPr>
          <w:rFonts w:hint="eastAsia"/>
          <w:color w:val="323232" w:themeColor="text1"/>
          <w:szCs w:val="21"/>
          <w14:textFill>
            <w14:solidFill>
              <w14:schemeClr w14:val="tx1"/>
            </w14:solidFill>
          </w14:textFill>
        </w:rPr>
        <w:t>——桩的周长（m）；</w:t>
      </w:r>
    </w:p>
    <w:p>
      <w:pPr>
        <w:spacing w:line="360" w:lineRule="auto"/>
        <w:ind w:firstLine="1050" w:firstLineChars="5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l</w:t>
      </w:r>
      <w:r>
        <w:rPr>
          <w:rFonts w:hint="eastAsia"/>
          <w:i/>
          <w:iCs/>
          <w:color w:val="323232" w:themeColor="text1"/>
          <w:szCs w:val="21"/>
          <w:vertAlign w:val="subscript"/>
          <w14:textFill>
            <w14:solidFill>
              <w14:schemeClr w14:val="tx1"/>
            </w14:solidFill>
          </w14:textFill>
        </w:rPr>
        <w:t>i</w:t>
      </w:r>
      <w:r>
        <w:rPr>
          <w:rFonts w:hint="eastAsia"/>
          <w:color w:val="323232" w:themeColor="text1"/>
          <w:szCs w:val="21"/>
          <w14:textFill>
            <w14:solidFill>
              <w14:schemeClr w14:val="tx1"/>
            </w14:solidFill>
          </w14:textFill>
        </w:rPr>
        <w:t>——桩周第</w:t>
      </w:r>
      <w:r>
        <w:rPr>
          <w:rFonts w:hint="eastAsia"/>
          <w:i/>
          <w:iCs/>
          <w:color w:val="323232" w:themeColor="text1"/>
          <w:szCs w:val="21"/>
          <w14:textFill>
            <w14:solidFill>
              <w14:schemeClr w14:val="tx1"/>
            </w14:solidFill>
          </w14:textFill>
        </w:rPr>
        <w:t>i</w:t>
      </w:r>
      <w:r>
        <w:rPr>
          <w:rFonts w:hint="eastAsia"/>
          <w:color w:val="323232" w:themeColor="text1"/>
          <w:szCs w:val="21"/>
          <w14:textFill>
            <w14:solidFill>
              <w14:schemeClr w14:val="tx1"/>
            </w14:solidFill>
          </w14:textFill>
        </w:rPr>
        <w:t>层土的厚度（m）；</w:t>
      </w:r>
    </w:p>
    <w:p>
      <w:pPr>
        <w:spacing w:line="360" w:lineRule="auto"/>
        <w:ind w:firstLine="1050" w:firstLineChars="500"/>
        <w:jc w:val="left"/>
        <w:rPr>
          <w:color w:val="323232" w:themeColor="text1"/>
          <w:szCs w:val="21"/>
          <w14:textFill>
            <w14:solidFill>
              <w14:schemeClr w14:val="tx1"/>
            </w14:solidFill>
          </w14:textFill>
        </w:rPr>
      </w:pPr>
      <w:r>
        <w:rPr>
          <w:i/>
          <w:iCs/>
          <w:color w:val="323232" w:themeColor="text1"/>
          <w:szCs w:val="21"/>
          <w14:textFill>
            <w14:solidFill>
              <w14:schemeClr w14:val="tx1"/>
            </w14:solidFill>
          </w14:textFill>
        </w:rPr>
        <w:t>τ</w:t>
      </w:r>
      <w:r>
        <w:rPr>
          <w:rFonts w:hint="eastAsia" w:ascii="宋体" w:hAnsi="宋体" w:cs="宋体"/>
          <w:i/>
          <w:iCs/>
          <w:color w:val="323232" w:themeColor="text1"/>
          <w:szCs w:val="21"/>
          <w:vertAlign w:val="subscript"/>
          <w14:textFill>
            <w14:solidFill>
              <w14:schemeClr w14:val="tx1"/>
            </w14:solidFill>
          </w14:textFill>
        </w:rPr>
        <w:t>i</w:t>
      </w:r>
      <w:r>
        <w:rPr>
          <w:rFonts w:hint="eastAsia"/>
          <w:color w:val="323232" w:themeColor="text1"/>
          <w:szCs w:val="21"/>
          <w14:textFill>
            <w14:solidFill>
              <w14:schemeClr w14:val="tx1"/>
            </w14:solidFill>
          </w14:textFill>
        </w:rPr>
        <w:t>——桩与桩侧第</w:t>
      </w:r>
      <w:r>
        <w:rPr>
          <w:rFonts w:hint="eastAsia"/>
          <w:i/>
          <w:iCs/>
          <w:color w:val="323232" w:themeColor="text1"/>
          <w:szCs w:val="21"/>
          <w14:textFill>
            <w14:solidFill>
              <w14:schemeClr w14:val="tx1"/>
            </w14:solidFill>
          </w14:textFill>
        </w:rPr>
        <w:t>i</w:t>
      </w:r>
      <w:r>
        <w:rPr>
          <w:rFonts w:hint="eastAsia"/>
          <w:color w:val="323232" w:themeColor="text1"/>
          <w:szCs w:val="21"/>
          <w14:textFill>
            <w14:solidFill>
              <w14:schemeClr w14:val="tx1"/>
            </w14:solidFill>
          </w14:textFill>
        </w:rPr>
        <w:t>层土的侧阻力（kPa）。可由当地经验取值；缺乏经验时可按表5.3.</w:t>
      </w:r>
      <w:r>
        <w:rPr>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-2取值。</w:t>
      </w:r>
    </w:p>
    <w:p>
      <w:pPr>
        <w:snapToGrid w:val="0"/>
        <w:jc w:val="center"/>
        <w:rPr>
          <w:rFonts w:eastAsia="黑体"/>
          <w:sz w:val="18"/>
          <w:szCs w:val="18"/>
        </w:rPr>
      </w:pPr>
      <w:r>
        <w:rPr>
          <w:rFonts w:hint="eastAsia" w:eastAsia="黑体"/>
          <w:sz w:val="18"/>
          <w:szCs w:val="18"/>
        </w:rPr>
        <w:t>表5.3.3-1 抗拔系数λ</w:t>
      </w:r>
    </w:p>
    <w:tbl>
      <w:tblPr>
        <w:tblStyle w:val="16"/>
        <w:tblW w:w="59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06"/>
        <w:gridCol w:w="30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jc w:val="center"/>
        </w:trPr>
        <w:tc>
          <w:tcPr>
            <w:tcW w:w="290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土类</w:t>
            </w:r>
          </w:p>
        </w:tc>
        <w:tc>
          <w:tcPr>
            <w:tcW w:w="3054" w:type="dxa"/>
            <w:vAlign w:val="center"/>
          </w:tcPr>
          <w:p>
            <w:pPr>
              <w:spacing w:line="360" w:lineRule="auto"/>
              <w:ind w:firstLine="1260" w:firstLineChars="600"/>
              <w:jc w:val="left"/>
              <w:rPr>
                <w:color w:val="323232" w:themeColor="text1"/>
                <w:sz w:val="18"/>
                <w:szCs w:val="18"/>
                <w14:textFill>
                  <w14:solidFill>
                    <w14:schemeClr w14:val="tx1"/>
                  </w14:solidFill>
                </w14:textFill>
              </w:rPr>
            </w:pPr>
            <w:r>
              <w:rPr>
                <w:i/>
                <w:iCs/>
                <w:color w:val="323232" w:themeColor="text1"/>
                <w:szCs w:val="21"/>
                <w14:textFill>
                  <w14:solidFill>
                    <w14:schemeClr w14:val="tx1"/>
                  </w14:solidFill>
                </w14:textFill>
              </w:rPr>
              <w:t>λ</w:t>
            </w:r>
            <w:r>
              <w:rPr>
                <w:rFonts w:hint="eastAsia"/>
                <w:color w:val="323232" w:themeColor="text1"/>
                <w:sz w:val="18"/>
                <w:szCs w:val="18"/>
                <w14:textFill>
                  <w14:solidFill>
                    <w14:schemeClr w14:val="tx1"/>
                  </w14:solidFill>
                </w14:textFill>
              </w:rPr>
              <w:t>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7" w:hRule="atLeast"/>
          <w:jc w:val="center"/>
        </w:trPr>
        <w:tc>
          <w:tcPr>
            <w:tcW w:w="290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砂土</w:t>
            </w:r>
          </w:p>
        </w:tc>
        <w:tc>
          <w:tcPr>
            <w:tcW w:w="3054"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9" w:hRule="atLeast"/>
          <w:jc w:val="center"/>
        </w:trPr>
        <w:tc>
          <w:tcPr>
            <w:tcW w:w="290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黏性土、粉土</w:t>
            </w:r>
          </w:p>
        </w:tc>
        <w:tc>
          <w:tcPr>
            <w:tcW w:w="3054"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1.1-1.3</w:t>
            </w:r>
          </w:p>
        </w:tc>
      </w:tr>
    </w:tbl>
    <w:p>
      <w:pPr>
        <w:spacing w:line="360" w:lineRule="auto"/>
        <w:jc w:val="left"/>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注：桩长</w:t>
      </w:r>
      <w:r>
        <w:rPr>
          <w:rFonts w:hint="eastAsia"/>
          <w:i/>
          <w:iCs/>
          <w:color w:val="323232" w:themeColor="text1"/>
          <w:sz w:val="18"/>
          <w:szCs w:val="18"/>
          <w14:textFill>
            <w14:solidFill>
              <w14:schemeClr w14:val="tx1"/>
            </w14:solidFill>
          </w14:textFill>
        </w:rPr>
        <w:t>l</w:t>
      </w:r>
      <w:r>
        <w:rPr>
          <w:rFonts w:hint="eastAsia"/>
          <w:color w:val="323232" w:themeColor="text1"/>
          <w:sz w:val="18"/>
          <w:szCs w:val="18"/>
          <w14:textFill>
            <w14:solidFill>
              <w14:schemeClr w14:val="tx1"/>
            </w14:solidFill>
          </w14:textFill>
        </w:rPr>
        <w:t>与桩径</w:t>
      </w:r>
      <w:r>
        <w:rPr>
          <w:rFonts w:hint="eastAsia"/>
          <w:i/>
          <w:iCs/>
          <w:color w:val="323232" w:themeColor="text1"/>
          <w:sz w:val="18"/>
          <w:szCs w:val="18"/>
          <w14:textFill>
            <w14:solidFill>
              <w14:schemeClr w14:val="tx1"/>
            </w14:solidFill>
          </w14:textFill>
        </w:rPr>
        <w:t>d</w:t>
      </w:r>
      <w:r>
        <w:rPr>
          <w:rFonts w:hint="eastAsia"/>
          <w:color w:val="323232" w:themeColor="text1"/>
          <w:sz w:val="18"/>
          <w:szCs w:val="18"/>
          <w14:textFill>
            <w14:solidFill>
              <w14:schemeClr w14:val="tx1"/>
            </w14:solidFill>
          </w14:textFill>
        </w:rPr>
        <w:t>之比小于20时</w:t>
      </w:r>
      <w:r>
        <w:rPr>
          <w:rFonts w:hint="eastAsia"/>
          <w:i/>
          <w:iCs/>
          <w:color w:val="323232" w:themeColor="text1"/>
          <w:sz w:val="18"/>
          <w:szCs w:val="18"/>
          <w14:textFill>
            <w14:solidFill>
              <w14:schemeClr w14:val="tx1"/>
            </w14:solidFill>
          </w14:textFill>
        </w:rPr>
        <w:t>，</w:t>
      </w:r>
      <w:r>
        <w:rPr>
          <w:i/>
          <w:iCs/>
          <w:color w:val="323232" w:themeColor="text1"/>
          <w:sz w:val="18"/>
          <w:szCs w:val="18"/>
          <w14:textFill>
            <w14:solidFill>
              <w14:schemeClr w14:val="tx1"/>
            </w14:solidFill>
          </w14:textFill>
        </w:rPr>
        <w:t>λ</w:t>
      </w:r>
      <w:r>
        <w:rPr>
          <w:rFonts w:hint="eastAsia"/>
          <w:color w:val="323232" w:themeColor="text1"/>
          <w:sz w:val="18"/>
          <w:szCs w:val="18"/>
          <w14:textFill>
            <w14:solidFill>
              <w14:schemeClr w14:val="tx1"/>
            </w14:solidFill>
          </w14:textFill>
        </w:rPr>
        <w:t>取小值。</w:t>
      </w:r>
    </w:p>
    <w:p>
      <w:pPr>
        <w:snapToGrid w:val="0"/>
        <w:jc w:val="center"/>
        <w:rPr>
          <w:rFonts w:hint="eastAsia" w:eastAsia="黑体"/>
          <w:sz w:val="18"/>
          <w:szCs w:val="18"/>
        </w:rPr>
      </w:pPr>
    </w:p>
    <w:p>
      <w:pPr>
        <w:snapToGrid w:val="0"/>
        <w:jc w:val="center"/>
        <w:rPr>
          <w:rFonts w:hint="eastAsia" w:eastAsia="黑体"/>
          <w:sz w:val="18"/>
          <w:szCs w:val="18"/>
        </w:rPr>
      </w:pPr>
    </w:p>
    <w:p>
      <w:pPr>
        <w:snapToGrid w:val="0"/>
        <w:jc w:val="center"/>
        <w:rPr>
          <w:rFonts w:hint="eastAsia" w:eastAsia="黑体"/>
          <w:sz w:val="18"/>
          <w:szCs w:val="18"/>
        </w:rPr>
      </w:pPr>
    </w:p>
    <w:p>
      <w:pPr>
        <w:snapToGrid w:val="0"/>
        <w:jc w:val="center"/>
        <w:rPr>
          <w:rFonts w:eastAsia="黑体"/>
          <w:sz w:val="18"/>
          <w:szCs w:val="18"/>
        </w:rPr>
      </w:pPr>
      <w:r>
        <w:rPr>
          <w:rFonts w:hint="eastAsia" w:eastAsia="黑体"/>
          <w:sz w:val="18"/>
          <w:szCs w:val="18"/>
        </w:rPr>
        <w:t>表5.3.</w:t>
      </w:r>
      <w:r>
        <w:rPr>
          <w:rFonts w:eastAsia="黑体"/>
          <w:sz w:val="18"/>
          <w:szCs w:val="18"/>
        </w:rPr>
        <w:t>3</w:t>
      </w:r>
      <w:r>
        <w:rPr>
          <w:rFonts w:hint="eastAsia" w:eastAsia="黑体"/>
          <w:sz w:val="18"/>
          <w:szCs w:val="18"/>
        </w:rPr>
        <w:t>-2  不同土质的侧阻力值（kPa）</w:t>
      </w:r>
    </w:p>
    <w:tbl>
      <w:tblPr>
        <w:tblStyle w:val="16"/>
        <w:tblW w:w="588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286"/>
        <w:gridCol w:w="660"/>
        <w:gridCol w:w="1050"/>
        <w:gridCol w:w="975"/>
        <w:gridCol w:w="1095"/>
        <w:gridCol w:w="8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tblHeader/>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土类</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状态</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预制桩</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（钢管桩）</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沉管</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灌注桩</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（木桩）</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冲（钻）孔灌注桩</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干作业成孔桩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杂填土</w:t>
            </w:r>
          </w:p>
        </w:tc>
        <w:tc>
          <w:tcPr>
            <w:tcW w:w="660" w:type="dxa"/>
            <w:vAlign w:val="center"/>
          </w:tcPr>
          <w:p>
            <w:pPr>
              <w:jc w:val="center"/>
              <w:rPr>
                <w:rFonts w:hint="eastAsia" w:eastAsia="宋体"/>
                <w:color w:val="323232" w:themeColor="text1"/>
                <w:sz w:val="18"/>
                <w:szCs w:val="18"/>
                <w:lang w:val="en-US" w:eastAsia="zh-CN"/>
                <w14:textFill>
                  <w14:solidFill>
                    <w14:schemeClr w14:val="tx1"/>
                  </w14:solidFill>
                </w14:textFill>
              </w:rPr>
            </w:pPr>
            <w:r>
              <w:rPr>
                <w:rFonts w:hint="eastAsia"/>
                <w:color w:val="323232" w:themeColor="text1"/>
                <w:sz w:val="18"/>
                <w:szCs w:val="18"/>
                <w:lang w:val="en-US" w:eastAsia="zh-CN"/>
                <w14:textFill>
                  <w14:solidFill>
                    <w14:schemeClr w14:val="tx1"/>
                  </w14:solidFill>
                </w14:textFill>
              </w:rPr>
              <w:t>--</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35</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淤泥</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流塑</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25</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15</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淤泥质土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流塑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软塑</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25</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黏土</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粉质黏土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可塑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硬塑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坚硬</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砂质黏土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可塑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硬塑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坚硬</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95</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粉土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稍密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40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粉细砂</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稍密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中砂</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稍密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粗砂</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稍密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125</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砾砂</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稍密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130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圆砾</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角砾</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150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碎石土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稍密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中密</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密实</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130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160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115</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残积黏性土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可塑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硬塑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坚硬</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70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残积砂（砾）质黏性土</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可塑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硬塑</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坚硬</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115</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60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95</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55</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80</w:t>
            </w:r>
          </w:p>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全风化软质岩</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120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110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全风化硬质岩</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160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150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140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强风化软质岩</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240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220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200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23" w:hRule="atLeast"/>
          <w:jc w:val="center"/>
        </w:trPr>
        <w:tc>
          <w:tcPr>
            <w:tcW w:w="1286"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强风化硬质岩</w:t>
            </w:r>
          </w:p>
        </w:tc>
        <w:tc>
          <w:tcPr>
            <w:tcW w:w="66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w:t>
            </w:r>
          </w:p>
        </w:tc>
        <w:tc>
          <w:tcPr>
            <w:tcW w:w="105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300</w:t>
            </w:r>
          </w:p>
        </w:tc>
        <w:tc>
          <w:tcPr>
            <w:tcW w:w="97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260</w:t>
            </w:r>
          </w:p>
        </w:tc>
        <w:tc>
          <w:tcPr>
            <w:tcW w:w="109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240</w:t>
            </w:r>
          </w:p>
        </w:tc>
        <w:tc>
          <w:tcPr>
            <w:tcW w:w="81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260</w:t>
            </w:r>
          </w:p>
        </w:tc>
      </w:tr>
    </w:tbl>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5.3.4 </w:t>
      </w:r>
      <w:r>
        <w:rPr>
          <w:rFonts w:hint="eastAsia"/>
          <w:color w:val="323232" w:themeColor="text1"/>
          <w:szCs w:val="21"/>
          <w14:textFill>
            <w14:solidFill>
              <w14:schemeClr w14:val="tx1"/>
            </w14:solidFill>
          </w14:textFill>
        </w:rPr>
        <w:t xml:space="preserve"> 桩与土的侧面摩擦力按下式计算：</w:t>
      </w:r>
    </w:p>
    <w:p>
      <w:pPr>
        <w:spacing w:line="360" w:lineRule="auto"/>
        <w:jc w:val="center"/>
        <w:rPr>
          <w:color w:val="323232" w:themeColor="text1"/>
          <w:szCs w:val="21"/>
          <w14:textFill>
            <w14:solidFill>
              <w14:schemeClr w14:val="tx1"/>
            </w14:solidFill>
          </w14:textFill>
        </w:rPr>
      </w:pPr>
      <w:r>
        <w:rPr>
          <w:rFonts w:hint="eastAsia"/>
          <w:color w:val="323232" w:themeColor="text1"/>
          <w:position w:val="-14"/>
          <w:szCs w:val="21"/>
          <w14:textFill>
            <w14:solidFill>
              <w14:schemeClr w14:val="tx1"/>
            </w14:solidFill>
          </w14:textFill>
        </w:rPr>
        <w:t xml:space="preserve">              </w:t>
      </w:r>
      <w:r>
        <w:rPr>
          <w:rFonts w:hint="eastAsia"/>
          <w:color w:val="323232" w:themeColor="text1"/>
          <w:position w:val="-14"/>
          <w:szCs w:val="21"/>
          <w14:textFill>
            <w14:solidFill>
              <w14:schemeClr w14:val="tx1"/>
            </w14:solidFill>
          </w14:textFill>
        </w:rPr>
        <w:object>
          <v:shape id="_x0000_i1027" o:spt="75" type="#_x0000_t75" style="height:20.4pt;width:100.8pt;" o:ole="t" filled="f" o:preferrelative="t" stroked="f" coordsize="21600,21600">
            <v:path/>
            <v:fill on="f" focussize="0,0"/>
            <v:stroke on="f" joinstyle="miter"/>
            <v:imagedata r:id="rId12" o:title=""/>
            <o:lock v:ext="edit" aspectratio="t"/>
            <w10:wrap type="none"/>
            <w10:anchorlock/>
          </v:shape>
          <o:OLEObject Type="Embed" ProgID="Equation.3" ShapeID="_x0000_i1027" DrawAspect="Content" ObjectID="_1468075727" r:id="rId11">
            <o:LockedField>false</o:LockedField>
          </o:OLEObject>
        </w:object>
      </w:r>
      <w:r>
        <w:rPr>
          <w:rFonts w:hint="eastAsia"/>
          <w:color w:val="323232" w:themeColor="text1"/>
          <w:position w:val="-14"/>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（5.3.4）</w:t>
      </w:r>
    </w:p>
    <w:p>
      <w:pPr>
        <w:spacing w:line="360" w:lineRule="auto"/>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式中：</w:t>
      </w:r>
      <w:bookmarkStart w:id="454" w:name="_Hlk98543198"/>
      <w:r>
        <w:rPr>
          <w:rFonts w:hint="eastAsia"/>
          <w:i/>
          <w:iCs/>
          <w:color w:val="323232" w:themeColor="text1"/>
          <w:szCs w:val="21"/>
          <w14:textFill>
            <w14:solidFill>
              <w14:schemeClr w14:val="tx1"/>
            </w14:solidFill>
          </w14:textFill>
        </w:rPr>
        <w:t>W</w:t>
      </w:r>
      <w:r>
        <w:rPr>
          <w:rFonts w:hint="eastAsia"/>
          <w:color w:val="323232" w:themeColor="text1"/>
          <w:szCs w:val="21"/>
          <w14:textFill>
            <w14:solidFill>
              <w14:schemeClr w14:val="tx1"/>
            </w14:solidFill>
          </w14:textFill>
        </w:rPr>
        <w:t>——桩与桩侧土的接触宽度（m）</w:t>
      </w:r>
      <w:bookmarkEnd w:id="454"/>
      <w:r>
        <w:rPr>
          <w:rFonts w:hint="eastAsia"/>
          <w:color w:val="323232" w:themeColor="text1"/>
          <w:szCs w:val="21"/>
          <w14:textFill>
            <w14:solidFill>
              <w14:schemeClr w14:val="tx1"/>
            </w14:solidFill>
          </w14:textFill>
        </w:rPr>
        <w:t>；</w:t>
      </w:r>
    </w:p>
    <w:p>
      <w:pPr>
        <w:spacing w:line="360" w:lineRule="auto"/>
        <w:ind w:firstLine="630" w:firstLineChars="3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μ</w:t>
      </w:r>
      <w:r>
        <w:rPr>
          <w:rFonts w:hint="eastAsia" w:ascii="宋体" w:hAnsi="宋体" w:cs="宋体"/>
          <w:color w:val="323232" w:themeColor="text1"/>
          <w:szCs w:val="21"/>
          <w14:textFill>
            <w14:solidFill>
              <w14:schemeClr w14:val="tx1"/>
            </w14:solidFill>
          </w14:textFill>
        </w:rPr>
        <w:t>——桩与桩侧土的摩擦力系数，取</w:t>
      </w:r>
      <w:r>
        <w:rPr>
          <w:color w:val="323232" w:themeColor="text1"/>
          <w:szCs w:val="21"/>
          <w14:textFill>
            <w14:solidFill>
              <w14:schemeClr w14:val="tx1"/>
            </w14:solidFill>
          </w14:textFill>
        </w:rPr>
        <w:t>0.3~0.6，</w:t>
      </w:r>
      <w:r>
        <w:rPr>
          <w:rFonts w:hint="eastAsia" w:ascii="宋体" w:hAnsi="宋体" w:cs="宋体"/>
          <w:color w:val="323232" w:themeColor="text1"/>
          <w:szCs w:val="21"/>
          <w14:textFill>
            <w14:solidFill>
              <w14:schemeClr w14:val="tx1"/>
            </w14:solidFill>
          </w14:textFill>
        </w:rPr>
        <w:t>桩表面粗糙时取大值；</w:t>
      </w:r>
    </w:p>
    <w:p>
      <w:pPr>
        <w:spacing w:line="360" w:lineRule="auto"/>
        <w:ind w:firstLine="630" w:firstLineChars="3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E</w:t>
      </w:r>
      <w:r>
        <w:rPr>
          <w:i/>
          <w:iCs/>
          <w:color w:val="323232" w:themeColor="text1"/>
          <w:szCs w:val="21"/>
          <w:vertAlign w:val="subscript"/>
          <w14:textFill>
            <w14:solidFill>
              <w14:schemeClr w14:val="tx1"/>
            </w14:solidFill>
          </w14:textFill>
        </w:rPr>
        <w:t>ai</w:t>
      </w:r>
      <w:r>
        <w:rPr>
          <w:rFonts w:hint="eastAsia" w:ascii="宋体" w:hAnsi="宋体" w:cs="宋体"/>
          <w:color w:val="323232" w:themeColor="text1"/>
          <w:szCs w:val="21"/>
          <w14:textFill>
            <w14:solidFill>
              <w14:schemeClr w14:val="tx1"/>
            </w14:solidFill>
          </w14:textFill>
        </w:rPr>
        <w:t>——第</w:t>
      </w:r>
      <w:r>
        <w:rPr>
          <w:i/>
          <w:iCs/>
          <w:color w:val="323232" w:themeColor="text1"/>
          <w:szCs w:val="21"/>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层土作用在桩侧的主动土压</w:t>
      </w:r>
      <w:r>
        <w:rPr>
          <w:color w:val="323232" w:themeColor="text1"/>
          <w:szCs w:val="21"/>
          <w14:textFill>
            <w14:solidFill>
              <w14:schemeClr w14:val="tx1"/>
            </w14:solidFill>
          </w14:textFill>
        </w:rPr>
        <w:t>力</w:t>
      </w:r>
      <w:r>
        <w:rPr>
          <w:rFonts w:hint="eastAsia"/>
          <w:color w:val="323232" w:themeColor="text1"/>
          <w:szCs w:val="21"/>
          <w14:textFill>
            <w14:solidFill>
              <w14:schemeClr w14:val="tx1"/>
            </w14:solidFill>
          </w14:textFill>
        </w:rPr>
        <w:t>（</w:t>
      </w:r>
      <w:r>
        <w:rPr>
          <w:color w:val="323232" w:themeColor="text1"/>
          <w:szCs w:val="21"/>
          <w14:textFill>
            <w14:solidFill>
              <w14:schemeClr w14:val="tx1"/>
            </w14:solidFill>
          </w14:textFill>
        </w:rPr>
        <w:t>kPa</w:t>
      </w:r>
      <w:r>
        <w:rPr>
          <w:rFonts w:hint="eastAsia"/>
          <w:color w:val="323232" w:themeColor="text1"/>
          <w:szCs w:val="21"/>
          <w14:textFill>
            <w14:solidFill>
              <w14:schemeClr w14:val="tx1"/>
            </w14:solidFill>
          </w14:textFill>
        </w:rPr>
        <w:t>）</w:t>
      </w:r>
      <w:r>
        <w:rPr>
          <w:rFonts w:hint="eastAsia" w:ascii="宋体" w:hAnsi="宋体" w:cs="宋体"/>
          <w:color w:val="323232" w:themeColor="text1"/>
          <w:szCs w:val="21"/>
          <w14:textFill>
            <w14:solidFill>
              <w14:schemeClr w14:val="tx1"/>
            </w14:solidFill>
          </w14:textFill>
        </w:rPr>
        <w:t>；</w:t>
      </w:r>
    </w:p>
    <w:p>
      <w:pPr>
        <w:spacing w:line="360" w:lineRule="auto"/>
        <w:ind w:firstLine="630" w:firstLineChars="300"/>
        <w:jc w:val="left"/>
        <w:rPr>
          <w:color w:val="323232" w:themeColor="text1"/>
          <w:szCs w:val="21"/>
          <w14:textFill>
            <w14:solidFill>
              <w14:schemeClr w14:val="tx1"/>
            </w14:solidFill>
          </w14:textFill>
        </w:rPr>
      </w:pPr>
      <w:r>
        <w:rPr>
          <w:i/>
          <w:iCs/>
          <w:color w:val="323232" w:themeColor="text1"/>
          <w:szCs w:val="21"/>
          <w14:textFill>
            <w14:solidFill>
              <w14:schemeClr w14:val="tx1"/>
            </w14:solidFill>
          </w14:textFill>
        </w:rPr>
        <w:t>h</w:t>
      </w:r>
      <w:r>
        <w:rPr>
          <w:i/>
          <w:iCs/>
          <w:color w:val="323232" w:themeColor="text1"/>
          <w:szCs w:val="21"/>
          <w:vertAlign w:val="subscript"/>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——桩侧第</w:t>
      </w:r>
      <w:r>
        <w:rPr>
          <w:i/>
          <w:iCs/>
          <w:color w:val="323232" w:themeColor="text1"/>
          <w:szCs w:val="21"/>
          <w14:textFill>
            <w14:solidFill>
              <w14:schemeClr w14:val="tx1"/>
            </w14:solidFill>
          </w14:textFill>
        </w:rPr>
        <w:t>i</w:t>
      </w:r>
      <w:r>
        <w:rPr>
          <w:rFonts w:hint="eastAsia" w:ascii="宋体" w:hAnsi="宋体" w:cs="宋体"/>
          <w:color w:val="323232" w:themeColor="text1"/>
          <w:szCs w:val="21"/>
          <w14:textFill>
            <w14:solidFill>
              <w14:schemeClr w14:val="tx1"/>
            </w14:solidFill>
          </w14:textFill>
        </w:rPr>
        <w:t>层土的厚度</w:t>
      </w:r>
      <w:r>
        <w:rPr>
          <w:rFonts w:hint="eastAsia"/>
          <w:color w:val="323232" w:themeColor="text1"/>
          <w:szCs w:val="21"/>
          <w14:textFill>
            <w14:solidFill>
              <w14:schemeClr w14:val="tx1"/>
            </w14:solidFill>
          </w14:textFill>
        </w:rPr>
        <w:t>（m）</w:t>
      </w:r>
      <w:r>
        <w:rPr>
          <w:color w:val="323232" w:themeColor="text1"/>
          <w:szCs w:val="21"/>
          <w14:textFill>
            <w14:solidFill>
              <w14:schemeClr w14:val="tx1"/>
            </w14:solidFill>
          </w14:textFill>
        </w:rPr>
        <w:t>。</w:t>
      </w:r>
    </w:p>
    <w:p>
      <w:pPr>
        <w:spacing w:line="360" w:lineRule="auto"/>
        <w:jc w:val="center"/>
        <w:outlineLvl w:val="0"/>
        <w:rPr>
          <w:color w:val="323232" w:themeColor="text1"/>
          <w:sz w:val="24"/>
          <w14:textFill>
            <w14:solidFill>
              <w14:schemeClr w14:val="tx1"/>
            </w14:solidFill>
          </w14:textFill>
        </w:rPr>
      </w:pPr>
      <w:r>
        <w:rPr>
          <w:rFonts w:hint="eastAsia"/>
          <w:color w:val="323232" w:themeColor="text1"/>
          <w:sz w:val="24"/>
          <w14:textFill>
            <w14:solidFill>
              <w14:schemeClr w14:val="tx1"/>
            </w14:solidFill>
          </w14:textFill>
        </w:rPr>
        <w:br w:type="page"/>
      </w:r>
      <w:bookmarkStart w:id="455" w:name="_Toc2420"/>
      <w:bookmarkStart w:id="456" w:name="_Toc20672"/>
      <w:bookmarkStart w:id="457" w:name="_Toc30632"/>
      <w:bookmarkStart w:id="458" w:name="_Toc24387"/>
      <w:bookmarkStart w:id="459" w:name="_Toc21091"/>
      <w:bookmarkStart w:id="460" w:name="_Toc18228"/>
      <w:bookmarkStart w:id="461" w:name="_Toc6793"/>
      <w:bookmarkStart w:id="462" w:name="_Toc22298"/>
      <w:bookmarkStart w:id="463" w:name="_Toc12056"/>
      <w:bookmarkStart w:id="464" w:name="_Toc5345"/>
      <w:bookmarkStart w:id="465" w:name="_Toc5557"/>
      <w:bookmarkStart w:id="466" w:name="_Hlk96640864"/>
      <w:r>
        <w:rPr>
          <w:rFonts w:hint="eastAsia" w:eastAsia="黑体"/>
          <w:b/>
          <w:bCs/>
          <w:color w:val="323232" w:themeColor="text1"/>
          <w:kern w:val="44"/>
          <w:sz w:val="32"/>
          <w:szCs w:val="32"/>
          <w14:textFill>
            <w14:solidFill>
              <w14:schemeClr w14:val="tx1"/>
            </w14:solidFill>
          </w14:textFill>
        </w:rPr>
        <w:t>6</w:t>
      </w:r>
      <w:r>
        <w:rPr>
          <w:rFonts w:hint="eastAsia" w:eastAsia="黑体"/>
          <w:color w:val="323232" w:themeColor="text1"/>
          <w:kern w:val="44"/>
          <w:sz w:val="32"/>
          <w:szCs w:val="32"/>
          <w14:textFill>
            <w14:solidFill>
              <w14:schemeClr w14:val="tx1"/>
            </w14:solidFill>
          </w14:textFill>
        </w:rPr>
        <w:t xml:space="preserve"> 施工</w:t>
      </w:r>
      <w:bookmarkEnd w:id="455"/>
      <w:bookmarkEnd w:id="456"/>
      <w:bookmarkEnd w:id="457"/>
      <w:bookmarkEnd w:id="458"/>
      <w:bookmarkEnd w:id="459"/>
      <w:bookmarkEnd w:id="460"/>
      <w:bookmarkEnd w:id="461"/>
      <w:bookmarkEnd w:id="462"/>
      <w:bookmarkEnd w:id="463"/>
      <w:bookmarkEnd w:id="464"/>
      <w:bookmarkEnd w:id="465"/>
    </w:p>
    <w:p>
      <w:pPr>
        <w:pStyle w:val="3"/>
        <w:rPr>
          <w:rFonts w:ascii="Times New Roman" w:hAnsi="Times New Roman"/>
          <w:color w:val="323232" w:themeColor="text1"/>
          <w14:textFill>
            <w14:solidFill>
              <w14:schemeClr w14:val="tx1"/>
            </w14:solidFill>
          </w14:textFill>
        </w:rPr>
      </w:pPr>
      <w:bookmarkStart w:id="467" w:name="_Toc28456"/>
      <w:bookmarkStart w:id="468" w:name="_Toc20058"/>
      <w:bookmarkStart w:id="469" w:name="_Toc15362"/>
      <w:bookmarkStart w:id="470" w:name="_Toc11202"/>
      <w:bookmarkStart w:id="471" w:name="_Toc4038"/>
      <w:bookmarkStart w:id="472" w:name="_Toc29653"/>
      <w:bookmarkStart w:id="473" w:name="_Toc9695"/>
      <w:bookmarkStart w:id="474" w:name="_Toc11098"/>
      <w:bookmarkStart w:id="475" w:name="_Toc903"/>
      <w:bookmarkStart w:id="476" w:name="_Toc18278"/>
      <w:bookmarkStart w:id="477" w:name="_Toc15464"/>
      <w:r>
        <w:rPr>
          <w:rFonts w:hint="eastAsia" w:ascii="Times New Roman" w:hAnsi="Times New Roman"/>
          <w:color w:val="323232" w:themeColor="text1"/>
          <w14:textFill>
            <w14:solidFill>
              <w14:schemeClr w14:val="tx1"/>
            </w14:solidFill>
          </w14:textFill>
        </w:rPr>
        <w:t xml:space="preserve">6.1  </w:t>
      </w:r>
      <w:r>
        <w:rPr>
          <w:rFonts w:hint="eastAsia" w:ascii="黑体" w:hAnsi="黑体" w:eastAsia="黑体" w:cs="黑体"/>
          <w:b w:val="0"/>
          <w:bCs/>
          <w:color w:val="000000"/>
        </w:rPr>
        <w:t>一般规定</w:t>
      </w:r>
      <w:bookmarkEnd w:id="467"/>
      <w:bookmarkEnd w:id="468"/>
      <w:bookmarkEnd w:id="469"/>
      <w:bookmarkEnd w:id="470"/>
      <w:bookmarkEnd w:id="471"/>
      <w:bookmarkEnd w:id="472"/>
      <w:bookmarkEnd w:id="473"/>
      <w:bookmarkEnd w:id="474"/>
      <w:bookmarkEnd w:id="475"/>
      <w:bookmarkEnd w:id="476"/>
      <w:bookmarkEnd w:id="477"/>
    </w:p>
    <w:bookmarkEnd w:id="466"/>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6.1.1 </w:t>
      </w:r>
      <w:r>
        <w:rPr>
          <w:rFonts w:hint="eastAsia"/>
          <w:color w:val="323232" w:themeColor="text1"/>
          <w:szCs w:val="21"/>
          <w14:textFill>
            <w14:solidFill>
              <w14:schemeClr w14:val="tx1"/>
            </w14:solidFill>
          </w14:textFill>
        </w:rPr>
        <w:t xml:space="preserve"> 施工前应具备下列文件和资料：</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 xml:space="preserve"> 场地的岩土工程勘察资料；</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2</w:t>
      </w:r>
      <w:r>
        <w:rPr>
          <w:rFonts w:hint="eastAsia"/>
          <w:color w:val="323232" w:themeColor="text1"/>
          <w:szCs w:val="21"/>
          <w14:textFill>
            <w14:solidFill>
              <w14:schemeClr w14:val="tx1"/>
            </w14:solidFill>
          </w14:textFill>
        </w:rPr>
        <w:t xml:space="preserve">  既有桩基现状资料；</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 xml:space="preserve">  施工专项方案、施工组织设计；</w:t>
      </w:r>
    </w:p>
    <w:p>
      <w:pPr>
        <w:spacing w:beforeLines="0" w:afterLines="0" w:line="360" w:lineRule="auto"/>
        <w:ind w:firstLine="482" w:firstLineChars="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4</w:t>
      </w:r>
      <w:r>
        <w:rPr>
          <w:rFonts w:hint="eastAsia"/>
          <w:color w:val="323232" w:themeColor="text1"/>
          <w:szCs w:val="21"/>
          <w14:textFill>
            <w14:solidFill>
              <w14:schemeClr w14:val="tx1"/>
            </w14:solidFill>
          </w14:textFill>
        </w:rPr>
        <w:t xml:space="preserve">  施工场地和邻近区域内的地下管线、地下构筑物、建（构）筑物等受施工影响情况及相应的技术措施；</w:t>
      </w:r>
    </w:p>
    <w:p>
      <w:pPr>
        <w:spacing w:beforeLines="0" w:afterLines="0" w:line="360" w:lineRule="auto"/>
        <w:ind w:firstLine="482" w:firstLineChars="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  </w:t>
      </w:r>
      <w:r>
        <w:rPr>
          <w:rFonts w:hint="eastAsia"/>
          <w:color w:val="323232" w:themeColor="text1"/>
          <w:szCs w:val="21"/>
          <w14:textFill>
            <w14:solidFill>
              <w14:schemeClr w14:val="tx1"/>
            </w14:solidFill>
          </w14:textFill>
        </w:rPr>
        <w:t>主要施工设备的技术性能资料；</w:t>
      </w:r>
    </w:p>
    <w:p>
      <w:pPr>
        <w:spacing w:beforeLines="0" w:afterLines="0" w:line="360" w:lineRule="auto"/>
        <w:ind w:firstLine="482" w:firstLineChars="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w:t>
      </w:r>
      <w:r>
        <w:rPr>
          <w:rFonts w:hint="eastAsia"/>
          <w:color w:val="323232" w:themeColor="text1"/>
          <w:szCs w:val="21"/>
          <w14:textFill>
            <w14:solidFill>
              <w14:schemeClr w14:val="tx1"/>
            </w14:solidFill>
          </w14:textFill>
        </w:rPr>
        <w:t xml:space="preserve">  施工工艺的试验资料；</w:t>
      </w:r>
    </w:p>
    <w:p>
      <w:pPr>
        <w:spacing w:beforeLines="0" w:afterLines="0" w:line="360" w:lineRule="auto"/>
        <w:ind w:firstLine="482" w:firstLineChars="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7  </w:t>
      </w:r>
      <w:r>
        <w:rPr>
          <w:rFonts w:hint="eastAsia"/>
          <w:color w:val="323232" w:themeColor="text1"/>
          <w:szCs w:val="21"/>
          <w14:textFill>
            <w14:solidFill>
              <w14:schemeClr w14:val="tx1"/>
            </w14:solidFill>
          </w14:textFill>
        </w:rPr>
        <w:t>保障工程质量、安全生产、文明施工的技术措施。</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6.1.2  </w:t>
      </w:r>
      <w:r>
        <w:rPr>
          <w:rFonts w:hint="eastAsia"/>
          <w:color w:val="323232" w:themeColor="text1"/>
          <w:szCs w:val="21"/>
          <w14:textFill>
            <w14:solidFill>
              <w14:schemeClr w14:val="tx1"/>
            </w14:solidFill>
          </w14:textFill>
        </w:rPr>
        <w:t>清除作业前应先将承台与桩基的连接破除。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6.1.3</w:t>
      </w:r>
      <w:r>
        <w:rPr>
          <w:rFonts w:hint="eastAsia"/>
          <w:color w:val="323232" w:themeColor="text1"/>
          <w:szCs w:val="21"/>
          <w14:textFill>
            <w14:solidFill>
              <w14:schemeClr w14:val="tx1"/>
            </w14:solidFill>
          </w14:textFill>
        </w:rPr>
        <w:t xml:space="preserve">  清除应根据现场实际情况，</w:t>
      </w:r>
      <w:bookmarkStart w:id="478" w:name="_Hlk96640889"/>
      <w:r>
        <w:rPr>
          <w:rFonts w:hint="eastAsia"/>
          <w:color w:val="323232" w:themeColor="text1"/>
          <w:szCs w:val="21"/>
          <w14:textFill>
            <w14:solidFill>
              <w14:schemeClr w14:val="tx1"/>
            </w14:solidFill>
          </w14:textFill>
        </w:rPr>
        <w:t>采用分次、分段、间隔的顺序，尽量避免一次连续清除。</w:t>
      </w:r>
    </w:p>
    <w:bookmarkEnd w:id="478"/>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6.1.4 </w:t>
      </w:r>
      <w:r>
        <w:rPr>
          <w:rFonts w:hint="eastAsia"/>
          <w:color w:val="323232" w:themeColor="text1"/>
          <w:szCs w:val="21"/>
          <w14:textFill>
            <w14:solidFill>
              <w14:schemeClr w14:val="tx1"/>
            </w14:solidFill>
          </w14:textFill>
        </w:rPr>
        <w:t xml:space="preserve"> 清除施工时，每根桩应根据清除工艺由专职记录员及时做好施工记录，并由监理人员确认。清除施工记录表可按附录A采用。</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6.1.</w:t>
      </w:r>
      <w:r>
        <w:rPr>
          <w:rFonts w:hint="eastAsia"/>
          <w:b/>
          <w:bCs/>
          <w:color w:val="323232" w:themeColor="text1"/>
          <w:szCs w:val="21"/>
          <w14:textFill>
            <w14:solidFill>
              <w14:schemeClr w14:val="tx1"/>
            </w14:solidFill>
          </w14:textFill>
        </w:rPr>
        <w:t xml:space="preserve">5 </w:t>
      </w:r>
      <w:r>
        <w:rPr>
          <w:rFonts w:hint="eastAsia"/>
          <w:color w:val="323232" w:themeColor="text1"/>
          <w:szCs w:val="21"/>
          <w14:textFill>
            <w14:solidFill>
              <w14:schemeClr w14:val="tx1"/>
            </w14:solidFill>
          </w14:textFill>
        </w:rPr>
        <w:t xml:space="preserve"> 清除施工可能危及周边的建（构）筑物等时，应对周边建（构）筑物等的变形和裂缝情况进行监测。监测点布置及监测要求等应符合国家现行有关标准的规定。</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6.1.6  </w:t>
      </w:r>
      <w:r>
        <w:rPr>
          <w:rFonts w:hint="eastAsia"/>
          <w:color w:val="323232" w:themeColor="text1"/>
          <w:szCs w:val="21"/>
          <w14:textFill>
            <w14:solidFill>
              <w14:schemeClr w14:val="tx1"/>
            </w14:solidFill>
          </w14:textFill>
        </w:rPr>
        <w:t>当清除施工影响邻近建（构）筑物等正常使用，应调整施工顺序或施工工艺。</w:t>
      </w:r>
    </w:p>
    <w:p>
      <w:pPr>
        <w:spacing w:line="360" w:lineRule="auto"/>
        <w:jc w:val="left"/>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6.1.7 </w:t>
      </w:r>
      <w:r>
        <w:rPr>
          <w:rFonts w:hint="eastAsia"/>
          <w:color w:val="323232" w:themeColor="text1"/>
          <w:szCs w:val="21"/>
          <w14:textFill>
            <w14:solidFill>
              <w14:schemeClr w14:val="tx1"/>
            </w14:solidFill>
          </w14:textFill>
        </w:rPr>
        <w:t xml:space="preserve"> 当出现施工困难时应采取辅助措施或调整施工工艺。</w:t>
      </w:r>
    </w:p>
    <w:p>
      <w:pPr>
        <w:pStyle w:val="3"/>
        <w:rPr>
          <w:rFonts w:ascii="Times New Roman" w:hAnsi="Times New Roman"/>
          <w:color w:val="323232" w:themeColor="text1"/>
          <w14:textFill>
            <w14:solidFill>
              <w14:schemeClr w14:val="tx1"/>
            </w14:solidFill>
          </w14:textFill>
        </w:rPr>
      </w:pPr>
      <w:bookmarkStart w:id="479" w:name="_Toc24955"/>
      <w:bookmarkStart w:id="480" w:name="_Toc24038"/>
      <w:bookmarkStart w:id="481" w:name="_Toc24908"/>
      <w:bookmarkStart w:id="482" w:name="_Toc1020"/>
      <w:bookmarkStart w:id="483" w:name="_Toc5903"/>
      <w:bookmarkStart w:id="484" w:name="_Toc18606"/>
      <w:bookmarkStart w:id="485" w:name="_Toc24066"/>
      <w:bookmarkStart w:id="486" w:name="_Toc180"/>
      <w:bookmarkStart w:id="487" w:name="_Toc9343"/>
      <w:bookmarkStart w:id="488" w:name="_Toc30279"/>
      <w:bookmarkStart w:id="489" w:name="_Toc29893"/>
      <w:bookmarkStart w:id="490" w:name="_Hlk96641233"/>
      <w:r>
        <w:rPr>
          <w:rFonts w:hint="eastAsia" w:ascii="Times New Roman" w:hAnsi="Times New Roman"/>
          <w:color w:val="323232" w:themeColor="text1"/>
          <w14:textFill>
            <w14:solidFill>
              <w14:schemeClr w14:val="tx1"/>
            </w14:solidFill>
          </w14:textFill>
        </w:rPr>
        <w:t xml:space="preserve">6.2  </w:t>
      </w:r>
      <w:r>
        <w:rPr>
          <w:rFonts w:hint="eastAsia" w:ascii="黑体" w:hAnsi="黑体" w:eastAsia="黑体" w:cs="黑体"/>
          <w:b w:val="0"/>
          <w:bCs/>
          <w:color w:val="000000"/>
        </w:rPr>
        <w:t>拔除法</w:t>
      </w:r>
      <w:bookmarkEnd w:id="479"/>
      <w:bookmarkEnd w:id="480"/>
      <w:bookmarkEnd w:id="481"/>
      <w:bookmarkEnd w:id="482"/>
      <w:bookmarkEnd w:id="483"/>
      <w:bookmarkEnd w:id="484"/>
      <w:bookmarkEnd w:id="485"/>
      <w:bookmarkEnd w:id="486"/>
      <w:bookmarkEnd w:id="487"/>
      <w:bookmarkEnd w:id="488"/>
      <w:bookmarkEnd w:id="489"/>
    </w:p>
    <w:bookmarkEnd w:id="490"/>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w:t>
      </w:r>
      <w:r>
        <w:rPr>
          <w:b/>
          <w:bCs/>
          <w:color w:val="323232" w:themeColor="text1"/>
          <w:szCs w:val="21"/>
          <w14:textFill>
            <w14:solidFill>
              <w14:schemeClr w14:val="tx1"/>
            </w14:solidFill>
          </w14:textFill>
        </w:rPr>
        <w:t>.2.1</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既有桩基清除采用拔除法施工可选用振动拔除法或静力拔除法。周边环境对振动和噪音有严格要求时，宜采用静力拔除法施工。</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2</w:t>
      </w:r>
      <w:r>
        <w:rPr>
          <w:rFonts w:hint="eastAsia"/>
          <w:color w:val="323232" w:themeColor="text1"/>
          <w:szCs w:val="21"/>
          <w14:textFill>
            <w14:solidFill>
              <w14:schemeClr w14:val="tx1"/>
            </w14:solidFill>
          </w14:textFill>
        </w:rPr>
        <w:t xml:space="preserve"> 振动拔除法宜采用吊车或机械手等提升设备施加提升力，边振边拔，直至拔桩完成。</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 xml:space="preserve">  采用振动拔除法施工，宜选用低噪音、低振动的振动锤，优先采用高频免共振振动锤。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4</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振动锤规格型号，具体可参照需要的振幅</w:t>
      </w:r>
      <w:r>
        <w:rPr>
          <w:i/>
          <w:iCs/>
          <w:color w:val="323232" w:themeColor="text1"/>
          <w:szCs w:val="21"/>
          <w14:textFill>
            <w14:solidFill>
              <w14:schemeClr w14:val="tx1"/>
            </w14:solidFill>
          </w14:textFill>
        </w:rPr>
        <w:t>A</w:t>
      </w:r>
      <w:r>
        <w:rPr>
          <w:color w:val="323232" w:themeColor="text1"/>
          <w:szCs w:val="21"/>
          <w:vertAlign w:val="subscript"/>
          <w14:textFill>
            <w14:solidFill>
              <w14:schemeClr w14:val="tx1"/>
            </w14:solidFill>
          </w14:textFill>
        </w:rPr>
        <w:t>s</w:t>
      </w:r>
      <w:r>
        <w:rPr>
          <w:color w:val="323232" w:themeColor="text1"/>
          <w:szCs w:val="21"/>
          <w14:textFill>
            <w14:solidFill>
              <w14:schemeClr w14:val="tx1"/>
            </w14:solidFill>
          </w14:textFill>
        </w:rPr>
        <w:t>和偏心距</w:t>
      </w:r>
      <w:r>
        <w:rPr>
          <w:i/>
          <w:iCs/>
          <w:color w:val="323232" w:themeColor="text1"/>
          <w:szCs w:val="21"/>
          <w14:textFill>
            <w14:solidFill>
              <w14:schemeClr w14:val="tx1"/>
            </w14:solidFill>
          </w14:textFill>
        </w:rPr>
        <w:t>M</w:t>
      </w:r>
      <w:r>
        <w:rPr>
          <w:color w:val="323232" w:themeColor="text1"/>
          <w:szCs w:val="21"/>
          <w:vertAlign w:val="subscript"/>
          <w14:textFill>
            <w14:solidFill>
              <w14:schemeClr w14:val="tx1"/>
            </w14:solidFill>
          </w14:textFill>
        </w:rPr>
        <w:t>0</w:t>
      </w:r>
      <w:r>
        <w:rPr>
          <w:rFonts w:hint="eastAsia"/>
          <w:color w:val="323232" w:themeColor="text1"/>
          <w:szCs w:val="21"/>
          <w14:textFill>
            <w14:solidFill>
              <w14:schemeClr w14:val="tx1"/>
            </w14:solidFill>
          </w14:textFill>
        </w:rPr>
        <w:t>来进行选择。</w:t>
      </w:r>
    </w:p>
    <w:p>
      <w:pPr>
        <w:spacing w:line="360" w:lineRule="auto"/>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需要的振幅</w:t>
      </w:r>
      <w:r>
        <w:rPr>
          <w:rFonts w:hint="eastAsia"/>
          <w:i/>
          <w:iCs/>
          <w:color w:val="323232" w:themeColor="text1"/>
          <w:szCs w:val="21"/>
          <w14:textFill>
            <w14:solidFill>
              <w14:schemeClr w14:val="tx1"/>
            </w14:solidFill>
          </w14:textFill>
        </w:rPr>
        <w:t>A</w:t>
      </w:r>
      <w:r>
        <w:rPr>
          <w:rFonts w:hint="eastAsia"/>
          <w:color w:val="323232" w:themeColor="text1"/>
          <w:szCs w:val="21"/>
          <w:vertAlign w:val="subscript"/>
          <w14:textFill>
            <w14:solidFill>
              <w14:schemeClr w14:val="tx1"/>
            </w14:solidFill>
          </w14:textFill>
        </w:rPr>
        <w:t>s</w:t>
      </w:r>
      <w:r>
        <w:rPr>
          <w:rFonts w:hint="eastAsia"/>
          <w:color w:val="323232" w:themeColor="text1"/>
          <w:szCs w:val="21"/>
          <w14:textFill>
            <w14:solidFill>
              <w14:schemeClr w14:val="tx1"/>
            </w14:solidFill>
          </w14:textFill>
        </w:rPr>
        <w:t>可按下列公式估算：</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对砂土                </w:t>
      </w:r>
      <w:r>
        <w:rPr>
          <w:rFonts w:hint="eastAsia"/>
          <w:color w:val="323232" w:themeColor="text1"/>
          <w:szCs w:val="21"/>
          <w14:textFill>
            <w14:solidFill>
              <w14:schemeClr w14:val="tx1"/>
            </w14:solidFill>
          </w14:textFill>
        </w:rPr>
        <w:object>
          <v:shape id="_x0000_i1028" o:spt="75" type="#_x0000_t75" style="height:19.2pt;width:81.6pt;" o:ole="t" filled="f" o:preferrelative="t" stroked="f" coordsize="21600,21600">
            <v:path/>
            <v:fill on="f" focussize="0,0"/>
            <v:stroke on="f" joinstyle="miter"/>
            <v:imagedata r:id="rId14" o:title=""/>
            <o:lock v:ext="edit" aspectratio="t"/>
            <w10:wrap type="none"/>
            <w10:anchorlock/>
          </v:shape>
          <o:OLEObject Type="Embed" ProgID="Equation.3" ShapeID="_x0000_i1028" DrawAspect="Content" ObjectID="_1468075728" r:id="rId13">
            <o:LockedField>false</o:LockedField>
          </o:OLEObject>
        </w:object>
      </w:r>
      <w:r>
        <w:rPr>
          <w:rFonts w:hint="eastAsia"/>
          <w:color w:val="323232" w:themeColor="text1"/>
          <w:szCs w:val="21"/>
          <w14:textFill>
            <w14:solidFill>
              <w14:schemeClr w14:val="tx1"/>
            </w14:solidFill>
          </w14:textFill>
        </w:rPr>
        <w:t xml:space="preserve">     （6.2.4-1）             </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对黏性土、粉土        </w:t>
      </w:r>
      <w:r>
        <w:rPr>
          <w:rFonts w:hint="eastAsia"/>
          <w:color w:val="323232" w:themeColor="text1"/>
          <w:szCs w:val="21"/>
          <w14:textFill>
            <w14:solidFill>
              <w14:schemeClr w14:val="tx1"/>
            </w14:solidFill>
          </w14:textFill>
        </w:rPr>
        <w:object>
          <v:shape id="_x0000_i1029" o:spt="75" type="#_x0000_t75" style="height:19.2pt;width:81.6pt;" o:ole="t" filled="f" o:preferrelative="t" stroked="f" coordsize="21600,21600">
            <v:path/>
            <v:fill on="f" focussize="0,0"/>
            <v:stroke on="f" joinstyle="miter"/>
            <v:imagedata r:id="rId16" o:title=""/>
            <o:lock v:ext="edit" aspectratio="t"/>
            <w10:wrap type="none"/>
            <w10:anchorlock/>
          </v:shape>
          <o:OLEObject Type="Embed" ProgID="Equation.3" ShapeID="_x0000_i1029" DrawAspect="Content" ObjectID="_1468075729" r:id="rId15">
            <o:LockedField>false</o:LockedField>
          </o:OLEObject>
        </w:object>
      </w:r>
      <w:r>
        <w:rPr>
          <w:rFonts w:hint="eastAsia" w:ascii="宋体" w:hAnsi="宋体" w:cs="宋体"/>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（6.2.4-2） </w:t>
      </w:r>
      <w:r>
        <w:rPr>
          <w:rFonts w:hint="eastAsia" w:ascii="宋体" w:hAnsi="宋体" w:cs="宋体"/>
          <w:color w:val="323232" w:themeColor="text1"/>
          <w:szCs w:val="21"/>
          <w14:textFill>
            <w14:solidFill>
              <w14:schemeClr w14:val="tx1"/>
            </w14:solidFill>
          </w14:textFill>
        </w:rPr>
        <w:t xml:space="preserve">   </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式中：</w:t>
      </w:r>
      <w:r>
        <w:rPr>
          <w:rFonts w:hint="eastAsia"/>
          <w:i/>
          <w:iCs/>
          <w:color w:val="323232" w:themeColor="text1"/>
          <w:szCs w:val="21"/>
          <w14:textFill>
            <w14:solidFill>
              <w14:schemeClr w14:val="tx1"/>
            </w14:solidFill>
          </w14:textFill>
        </w:rPr>
        <w:t>A</w:t>
      </w:r>
      <w:r>
        <w:rPr>
          <w:rFonts w:hint="eastAsia"/>
          <w:i/>
          <w:iCs/>
          <w:color w:val="323232" w:themeColor="text1"/>
          <w:szCs w:val="21"/>
          <w:vertAlign w:val="subscript"/>
          <w14:textFill>
            <w14:solidFill>
              <w14:schemeClr w14:val="tx1"/>
            </w14:solidFill>
          </w14:textFill>
        </w:rPr>
        <w:t>s</w:t>
      </w:r>
      <w:r>
        <w:rPr>
          <w:rFonts w:hint="eastAsia"/>
          <w:color w:val="323232" w:themeColor="text1"/>
          <w:szCs w:val="21"/>
          <w14:textFill>
            <w14:solidFill>
              <w14:schemeClr w14:val="tx1"/>
            </w14:solidFill>
          </w14:textFill>
        </w:rPr>
        <w:t>——拔桩需要的振幅（mm）；</w:t>
      </w:r>
    </w:p>
    <w:p>
      <w:pPr>
        <w:spacing w:line="360" w:lineRule="auto"/>
        <w:ind w:firstLine="1050" w:firstLineChars="500"/>
        <w:jc w:val="left"/>
        <w:rPr>
          <w:color w:val="323232" w:themeColor="text1"/>
          <w:szCs w:val="21"/>
          <w14:textFill>
            <w14:solidFill>
              <w14:schemeClr w14:val="tx1"/>
            </w14:solidFill>
          </w14:textFill>
        </w:rPr>
      </w:pPr>
      <w:r>
        <w:rPr>
          <w:rFonts w:hint="eastAsia"/>
          <w:i/>
          <w:iCs/>
          <w:color w:val="323232" w:themeColor="text1"/>
          <w:szCs w:val="21"/>
          <w14:textFill>
            <w14:solidFill>
              <w14:schemeClr w14:val="tx1"/>
            </w14:solidFill>
          </w14:textFill>
        </w:rPr>
        <w:t>N</w:t>
      </w:r>
      <w:r>
        <w:rPr>
          <w:rFonts w:hint="eastAsia"/>
          <w:color w:val="323232" w:themeColor="text1"/>
          <w:szCs w:val="21"/>
          <w14:textFill>
            <w14:solidFill>
              <w14:schemeClr w14:val="tx1"/>
            </w14:solidFill>
          </w14:textFill>
        </w:rPr>
        <w:t>——桩尖进入所在土层的标准贯入锤击数；</w:t>
      </w:r>
    </w:p>
    <w:p>
      <w:pPr>
        <w:spacing w:line="360" w:lineRule="auto"/>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          </w:t>
      </w:r>
      <w:r>
        <w:rPr>
          <w:rFonts w:hint="eastAsia"/>
          <w:i/>
          <w:iCs/>
          <w:color w:val="323232" w:themeColor="text1"/>
          <w:szCs w:val="21"/>
          <w14:textFill>
            <w14:solidFill>
              <w14:schemeClr w14:val="tx1"/>
            </w14:solidFill>
          </w14:textFill>
        </w:rPr>
        <w:t>L</w:t>
      </w:r>
      <w:r>
        <w:rPr>
          <w:rFonts w:hint="eastAsia"/>
          <w:color w:val="323232" w:themeColor="text1"/>
          <w:szCs w:val="21"/>
          <w14:textFill>
            <w14:solidFill>
              <w14:schemeClr w14:val="tx1"/>
            </w14:solidFill>
          </w14:textFill>
        </w:rPr>
        <w:t>——桩长（m）。</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需要的偏心距</w:t>
      </w:r>
      <w:r>
        <w:rPr>
          <w:rFonts w:hint="eastAsia"/>
          <w:i/>
          <w:iCs/>
          <w:color w:val="323232" w:themeColor="text1"/>
          <w:szCs w:val="21"/>
          <w14:textFill>
            <w14:solidFill>
              <w14:schemeClr w14:val="tx1"/>
            </w14:solidFill>
          </w14:textFill>
        </w:rPr>
        <w:t>M</w:t>
      </w:r>
      <w:r>
        <w:rPr>
          <w:rFonts w:hint="eastAsia"/>
          <w:i/>
          <w:iCs/>
          <w:color w:val="323232" w:themeColor="text1"/>
          <w:szCs w:val="21"/>
          <w:vertAlign w:val="subscript"/>
          <w14:textFill>
            <w14:solidFill>
              <w14:schemeClr w14:val="tx1"/>
            </w14:solidFill>
          </w14:textFill>
        </w:rPr>
        <w:t>0</w:t>
      </w:r>
      <w:r>
        <w:rPr>
          <w:rFonts w:hint="eastAsia"/>
          <w:color w:val="323232" w:themeColor="text1"/>
          <w:szCs w:val="21"/>
          <w14:textFill>
            <w14:solidFill>
              <w14:schemeClr w14:val="tx1"/>
            </w14:solidFill>
          </w14:textFill>
        </w:rPr>
        <w:t>可按下式估算：</w:t>
      </w:r>
    </w:p>
    <w:p>
      <w:pPr>
        <w:spacing w:line="360" w:lineRule="auto"/>
        <w:jc w:val="center"/>
        <w:rPr>
          <w:rFonts w:ascii="宋体" w:hAnsi="宋体" w:cs="宋体"/>
          <w:color w:val="323232" w:themeColor="text1"/>
          <w:szCs w:val="21"/>
          <w14:textFill>
            <w14:solidFill>
              <w14:schemeClr w14:val="tx1"/>
            </w14:solidFill>
          </w14:textFill>
        </w:rPr>
      </w:pPr>
      <w:r>
        <w:rPr>
          <w:rFonts w:hint="eastAsia"/>
          <w:color w:val="323232" w:themeColor="text1"/>
          <w:position w:val="-38"/>
          <w:szCs w:val="21"/>
          <w14:textFill>
            <w14:solidFill>
              <w14:schemeClr w14:val="tx1"/>
            </w14:solidFill>
          </w14:textFill>
        </w:rPr>
        <w:object>
          <v:shape id="_x0000_i1030" o:spt="75" type="#_x0000_t75" style="height:44.4pt;width:236.4pt;" o:ole="t" filled="f" o:preferrelative="t" stroked="f" coordsize="21600,21600">
            <v:path/>
            <v:fill on="f" focussize="0,0"/>
            <v:stroke on="f" joinstyle="miter"/>
            <v:imagedata r:id="rId18" o:title=""/>
            <o:lock v:ext="edit" aspectratio="t"/>
            <w10:wrap type="none"/>
            <w10:anchorlock/>
          </v:shape>
          <o:OLEObject Type="Embed" ProgID="Equation.3" ShapeID="_x0000_i1030" DrawAspect="Content" ObjectID="_1468075730" r:id="rId17">
            <o:LockedField>false</o:LockedField>
          </o:OLEObject>
        </w:object>
      </w:r>
      <w:r>
        <w:rPr>
          <w:rFonts w:hint="eastAsia"/>
          <w:color w:val="323232" w:themeColor="text1"/>
          <w:position w:val="-38"/>
          <w:szCs w:val="21"/>
          <w14:textFill>
            <w14:solidFill>
              <w14:schemeClr w14:val="tx1"/>
            </w14:solidFill>
          </w14:textFill>
        </w:rPr>
        <w:t xml:space="preserve">  </w:t>
      </w:r>
      <w:r>
        <w:rPr>
          <w:rFonts w:hint="eastAsia"/>
          <w:color w:val="323232" w:themeColor="text1"/>
          <w:szCs w:val="21"/>
          <w14:textFill>
            <w14:solidFill>
              <w14:schemeClr w14:val="tx1"/>
            </w14:solidFill>
          </w14:textFill>
        </w:rPr>
        <w:t>（6.2.4-3）</w:t>
      </w:r>
    </w:p>
    <w:p>
      <w:pPr>
        <w:spacing w:line="360" w:lineRule="auto"/>
        <w:ind w:firstLine="420" w:firstLineChars="200"/>
        <w:jc w:val="left"/>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式中：</w:t>
      </w:r>
      <w:r>
        <w:rPr>
          <w:rFonts w:hint="eastAsia"/>
          <w:i/>
          <w:iCs/>
          <w:color w:val="323232" w:themeColor="text1"/>
          <w:szCs w:val="21"/>
          <w14:textFill>
            <w14:solidFill>
              <w14:schemeClr w14:val="tx1"/>
            </w14:solidFill>
          </w14:textFill>
        </w:rPr>
        <w:t>M</w:t>
      </w:r>
      <w:r>
        <w:rPr>
          <w:rFonts w:hint="eastAsia"/>
          <w:i/>
          <w:iCs/>
          <w:color w:val="323232" w:themeColor="text1"/>
          <w:szCs w:val="21"/>
          <w:vertAlign w:val="subscript"/>
          <w14:textFill>
            <w14:solidFill>
              <w14:schemeClr w14:val="tx1"/>
            </w14:solidFill>
          </w14:textFill>
        </w:rPr>
        <w:t>0</w:t>
      </w:r>
      <w:r>
        <w:rPr>
          <w:rFonts w:hint="eastAsia"/>
          <w:color w:val="323232" w:themeColor="text1"/>
          <w:szCs w:val="21"/>
          <w14:textFill>
            <w14:solidFill>
              <w14:schemeClr w14:val="tx1"/>
            </w14:solidFill>
          </w14:textFill>
        </w:rPr>
        <w:t>——拔桩需要的偏心距（</w:t>
      </w:r>
      <w:r>
        <w:rPr>
          <w:rFonts w:hint="eastAsia"/>
          <w:i/>
          <w:iCs/>
          <w:color w:val="323232" w:themeColor="text1"/>
          <w:szCs w:val="21"/>
          <w14:textFill>
            <w14:solidFill>
              <w14:schemeClr w14:val="tx1"/>
            </w14:solidFill>
          </w14:textFill>
        </w:rPr>
        <w:t>N</w:t>
      </w:r>
      <w:r>
        <w:rPr>
          <w:color w:val="323232" w:themeColor="text1"/>
          <w:szCs w:val="21"/>
          <w14:textFill>
            <w14:solidFill>
              <w14:schemeClr w14:val="tx1"/>
            </w14:solidFill>
          </w14:textFill>
        </w:rPr>
        <w:t>·</w:t>
      </w:r>
      <w:r>
        <w:rPr>
          <w:rFonts w:hint="eastAsia"/>
          <w:color w:val="323232" w:themeColor="text1"/>
          <w:szCs w:val="21"/>
          <w14:textFill>
            <w14:solidFill>
              <w14:schemeClr w14:val="tx1"/>
            </w14:solidFill>
          </w14:textFill>
        </w:rPr>
        <w:t>cm）。</w:t>
      </w:r>
    </w:p>
    <w:p>
      <w:pPr>
        <w:spacing w:line="360" w:lineRule="auto"/>
        <w:rPr>
          <w:b/>
          <w:bCs/>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.5</w:t>
      </w:r>
      <w:r>
        <w:rPr>
          <w:rFonts w:hint="eastAsia"/>
          <w:color w:val="323232" w:themeColor="text1"/>
          <w:szCs w:val="21"/>
          <w14:textFill>
            <w14:solidFill>
              <w14:schemeClr w14:val="tx1"/>
            </w14:solidFill>
          </w14:textFill>
        </w:rPr>
        <w:t xml:space="preserve">  拔桩时，应注意桩机的负荷情况，发现上拔困难或无法上拔时，应停止拔桩。可采用振动锤先将桩振打100mm~300mm，再交替振打、振拔，如此反复将桩拔出。</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6</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对抗拔阻力较大的桩，可采用间歇振动的方法，每次振动15min，振动锤连续工作不宜超过1.5h。</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7</w:t>
      </w:r>
      <w:r>
        <w:rPr>
          <w:rFonts w:hint="eastAsia"/>
          <w:color w:val="323232" w:themeColor="text1"/>
          <w:szCs w:val="21"/>
          <w14:textFill>
            <w14:solidFill>
              <w14:schemeClr w14:val="tx1"/>
            </w14:solidFill>
          </w14:textFill>
        </w:rPr>
        <w:t xml:space="preserve">  采用静力拔除法施工，宜采用吊车直接拔除或液压千斤顶顶松后用吊车拔除。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8</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拔除反力装置采用地基提供反力时，施加于地基的压应力不应超过地基承载力特征值的1.5倍。</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9</w:t>
      </w:r>
      <w:r>
        <w:rPr>
          <w:rFonts w:hint="eastAsia"/>
          <w:color w:val="323232" w:themeColor="text1"/>
          <w:szCs w:val="21"/>
          <w14:textFill>
            <w14:solidFill>
              <w14:schemeClr w14:val="tx1"/>
            </w14:solidFill>
          </w14:textFill>
        </w:rPr>
        <w:t xml:space="preserve">  需要分段拔除时，可采用机械拔断或拧断。必须人工下孔作业时，应有必要的防护和应急措施。</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w:t>
      </w:r>
      <w:r>
        <w:rPr>
          <w:b/>
          <w:bCs/>
          <w:color w:val="323232" w:themeColor="text1"/>
          <w:szCs w:val="21"/>
          <w14:textFill>
            <w14:solidFill>
              <w14:schemeClr w14:val="tx1"/>
            </w14:solidFill>
          </w14:textFill>
        </w:rPr>
        <w:t>10</w:t>
      </w:r>
      <w:r>
        <w:rPr>
          <w:rFonts w:hint="eastAsia"/>
          <w:color w:val="323232" w:themeColor="text1"/>
          <w:szCs w:val="21"/>
          <w14:textFill>
            <w14:solidFill>
              <w14:schemeClr w14:val="tx1"/>
            </w14:solidFill>
          </w14:textFill>
        </w:rPr>
        <w:t xml:space="preserve">  拔除法施工质量控制措施应符合下列规定：</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1</w:t>
      </w:r>
      <w:r>
        <w:rPr>
          <w:rFonts w:hint="eastAsia"/>
          <w:color w:val="323232" w:themeColor="text1"/>
          <w:szCs w:val="21"/>
          <w14:textFill>
            <w14:solidFill>
              <w14:schemeClr w14:val="tx1"/>
            </w14:solidFill>
          </w14:textFill>
        </w:rPr>
        <w:t xml:space="preserve">  指挥人员及起重司机应严格执行拔桩的起重吊运方案及技术、安全措施；</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严禁超负荷使用起重机、工具和钢丝绳；</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 </w:t>
      </w:r>
      <w:r>
        <w:rPr>
          <w:rFonts w:hint="eastAsia"/>
          <w:color w:val="323232" w:themeColor="text1"/>
          <w:szCs w:val="21"/>
          <w14:textFill>
            <w14:solidFill>
              <w14:schemeClr w14:val="tx1"/>
            </w14:solidFill>
          </w14:textFill>
        </w:rPr>
        <w:t xml:space="preserve"> 在吊运过程中，任何人不得停留在已吊起的桩身下方；</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 </w:t>
      </w:r>
      <w:r>
        <w:rPr>
          <w:rFonts w:hint="eastAsia"/>
          <w:color w:val="323232" w:themeColor="text1"/>
          <w:szCs w:val="21"/>
          <w14:textFill>
            <w14:solidFill>
              <w14:schemeClr w14:val="tx1"/>
            </w14:solidFill>
          </w14:textFill>
        </w:rPr>
        <w:t xml:space="preserve"> 因故停止作业，须采取安全可靠的防护措施，严禁桩身长时间悬挂空中；</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 </w:t>
      </w:r>
      <w:r>
        <w:rPr>
          <w:rFonts w:hint="eastAsia"/>
          <w:color w:val="323232" w:themeColor="text1"/>
          <w:szCs w:val="21"/>
          <w14:textFill>
            <w14:solidFill>
              <w14:schemeClr w14:val="tx1"/>
            </w14:solidFill>
          </w14:textFill>
        </w:rPr>
        <w:t xml:space="preserve"> 在作业过程中，如发生异常，起重司机应及时报告起重指挥；</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  </w:t>
      </w:r>
      <w:r>
        <w:rPr>
          <w:rFonts w:hint="eastAsia"/>
          <w:color w:val="323232" w:themeColor="text1"/>
          <w:szCs w:val="21"/>
          <w14:textFill>
            <w14:solidFill>
              <w14:schemeClr w14:val="tx1"/>
            </w14:solidFill>
          </w14:textFill>
        </w:rPr>
        <w:t>在露天作业时，遇有六级及以上大风、大雾、雨雪等不良天气应停止作业。</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6.2.1</w:t>
      </w:r>
      <w:r>
        <w:rPr>
          <w:b/>
          <w:bCs/>
          <w:color w:val="323232" w:themeColor="text1"/>
          <w:szCs w:val="21"/>
          <w14:textFill>
            <w14:solidFill>
              <w14:schemeClr w14:val="tx1"/>
            </w14:solidFill>
          </w14:textFill>
        </w:rPr>
        <w:t>1</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桩周阻力较大时，采用减阻法配合静力拔除法施工，可采用桩周取土、冲水（气）、下套管等方法减小抗拔阻力。</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6.2.1</w:t>
      </w:r>
      <w:r>
        <w:rPr>
          <w:b/>
          <w:bCs/>
          <w:color w:val="323232" w:themeColor="text1"/>
          <w:szCs w:val="21"/>
          <w14:textFill>
            <w14:solidFill>
              <w14:schemeClr w14:val="tx1"/>
            </w14:solidFill>
          </w14:textFill>
        </w:rPr>
        <w:t>2</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开挖取土时，取土部分</w:t>
      </w:r>
      <w:r>
        <w:rPr>
          <w:rFonts w:hint="eastAsia" w:ascii="宋体" w:hAnsi="宋体" w:cs="宋体"/>
          <w:color w:val="323232" w:themeColor="text1"/>
          <w:szCs w:val="21"/>
          <w14:textFill>
            <w14:solidFill>
              <w14:schemeClr w14:val="tx1"/>
            </w14:solidFill>
          </w14:textFill>
        </w:rPr>
        <w:t>减阻系数</w:t>
      </w:r>
      <w:r>
        <w:rPr>
          <w:i/>
          <w:iCs/>
          <w:color w:val="323232" w:themeColor="text1"/>
          <w:szCs w:val="21"/>
          <w14:textFill>
            <w14:solidFill>
              <w14:schemeClr w14:val="tx1"/>
            </w14:solidFill>
          </w14:textFill>
        </w:rPr>
        <w:t>η</w:t>
      </w:r>
      <w:r>
        <w:rPr>
          <w:rFonts w:hint="eastAsia"/>
          <w:color w:val="323232" w:themeColor="text1"/>
          <w:szCs w:val="21"/>
          <w14:textFill>
            <w14:solidFill>
              <w14:schemeClr w14:val="tx1"/>
            </w14:solidFill>
          </w14:textFill>
        </w:rPr>
        <w:t>取0；桩周钻孔取土时，</w:t>
      </w:r>
      <w:r>
        <w:rPr>
          <w:rFonts w:hint="eastAsia" w:ascii="宋体" w:hAnsi="宋体" w:cs="宋体"/>
          <w:color w:val="323232" w:themeColor="text1"/>
          <w:szCs w:val="21"/>
          <w14:textFill>
            <w14:solidFill>
              <w14:schemeClr w14:val="tx1"/>
            </w14:solidFill>
          </w14:textFill>
        </w:rPr>
        <w:t>减阻系数</w:t>
      </w:r>
      <w:r>
        <w:rPr>
          <w:i/>
          <w:iCs/>
          <w:color w:val="323232" w:themeColor="text1"/>
          <w:szCs w:val="21"/>
          <w14:textFill>
            <w14:solidFill>
              <w14:schemeClr w14:val="tx1"/>
            </w14:solidFill>
          </w14:textFill>
        </w:rPr>
        <w:t>η</w:t>
      </w:r>
      <w:r>
        <w:rPr>
          <w:rFonts w:hint="eastAsia"/>
          <w:color w:val="323232" w:themeColor="text1"/>
          <w:szCs w:val="21"/>
          <w14:textFill>
            <w14:solidFill>
              <w14:schemeClr w14:val="tx1"/>
            </w14:solidFill>
          </w14:textFill>
        </w:rPr>
        <w:t>可按下式取值：</w:t>
      </w:r>
    </w:p>
    <w:p>
      <w:pPr>
        <w:spacing w:line="360" w:lineRule="auto"/>
        <w:jc w:val="center"/>
        <w:rPr>
          <w:rFonts w:ascii="宋体" w:hAnsi="宋体" w:cs="宋体"/>
          <w:color w:val="323232" w:themeColor="text1"/>
          <w:szCs w:val="21"/>
          <w14:textFill>
            <w14:solidFill>
              <w14:schemeClr w14:val="tx1"/>
            </w14:solidFill>
          </w14:textFill>
        </w:rPr>
      </w:pPr>
      <w:r>
        <w:rPr>
          <w:rFonts w:hint="eastAsia"/>
          <w:color w:val="323232" w:themeColor="text1"/>
          <w:position w:val="-24"/>
          <w:szCs w:val="21"/>
          <w14:textFill>
            <w14:solidFill>
              <w14:schemeClr w14:val="tx1"/>
            </w14:solidFill>
          </w14:textFill>
        </w:rPr>
        <w:t xml:space="preserve">                    </w:t>
      </w:r>
      <w:r>
        <w:rPr>
          <w:rFonts w:hint="eastAsia"/>
          <w:color w:val="323232" w:themeColor="text1"/>
          <w:position w:val="-24"/>
          <w:szCs w:val="21"/>
          <w14:textFill>
            <w14:solidFill>
              <w14:schemeClr w14:val="tx1"/>
            </w14:solidFill>
          </w14:textFill>
        </w:rPr>
        <w:object>
          <v:shape id="_x0000_i1031" o:spt="75" type="#_x0000_t75" style="height:31.2pt;width:48pt;" o:ole="t" filled="f" o:preferrelative="t" stroked="f" coordsize="21600,21600">
            <v:path/>
            <v:fill on="f" focussize="0,0"/>
            <v:stroke on="f" joinstyle="miter"/>
            <v:imagedata r:id="rId20" o:title=""/>
            <o:lock v:ext="edit" aspectratio="t"/>
            <w10:wrap type="none"/>
            <w10:anchorlock/>
          </v:shape>
          <o:OLEObject Type="Embed" ProgID="Equation.3" ShapeID="_x0000_i1031" DrawAspect="Content" ObjectID="_1468075731" r:id="rId19">
            <o:LockedField>false</o:LockedField>
          </o:OLEObject>
        </w:object>
      </w:r>
      <w:r>
        <w:rPr>
          <w:rFonts w:hint="eastAsia"/>
          <w:color w:val="323232" w:themeColor="text1"/>
          <w:position w:val="-24"/>
          <w:szCs w:val="21"/>
          <w14:textFill>
            <w14:solidFill>
              <w14:schemeClr w14:val="tx1"/>
            </w14:solidFill>
          </w14:textFill>
        </w:rPr>
        <w:t xml:space="preserve">          </w:t>
      </w:r>
      <w:r>
        <w:rPr>
          <w:rFonts w:hint="eastAsia"/>
          <w:color w:val="323232" w:themeColor="text1"/>
          <w:position w:val="-38"/>
          <w:szCs w:val="21"/>
          <w14:textFill>
            <w14:solidFill>
              <w14:schemeClr w14:val="tx1"/>
            </w14:solidFill>
          </w14:textFill>
        </w:rPr>
        <w:t xml:space="preserve">  </w:t>
      </w:r>
      <w:r>
        <w:rPr>
          <w:rFonts w:hint="eastAsia"/>
          <w:color w:val="323232" w:themeColor="text1"/>
          <w:szCs w:val="21"/>
          <w14:textFill>
            <w14:solidFill>
              <w14:schemeClr w14:val="tx1"/>
            </w14:solidFill>
          </w14:textFill>
        </w:rPr>
        <w:t>（6.2.12）</w:t>
      </w:r>
    </w:p>
    <w:p>
      <w:pPr>
        <w:spacing w:line="360" w:lineRule="auto"/>
        <w:jc w:val="left"/>
        <w:rPr>
          <w:rFonts w:ascii="宋体" w:hAnsi="宋体" w:cs="宋体"/>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式中：</w:t>
      </w:r>
      <w:r>
        <w:rPr>
          <w:i/>
          <w:iCs/>
          <w:color w:val="323232" w:themeColor="text1"/>
          <w:szCs w:val="21"/>
          <w14:textFill>
            <w14:solidFill>
              <w14:schemeClr w14:val="tx1"/>
            </w14:solidFill>
          </w14:textFill>
        </w:rPr>
        <w:t>λ</w:t>
      </w:r>
      <w:r>
        <w:rPr>
          <w:rFonts w:hint="eastAsia" w:ascii="宋体" w:hAnsi="宋体" w:cs="宋体"/>
          <w:color w:val="323232" w:themeColor="text1"/>
          <w:szCs w:val="21"/>
          <w14:textFill>
            <w14:solidFill>
              <w14:schemeClr w14:val="tx1"/>
            </w14:solidFill>
          </w14:textFill>
        </w:rPr>
        <w:t>——钻孔扰动桩周土带来的折减系数增大系数，按经验取大</w:t>
      </w:r>
      <w:r>
        <w:rPr>
          <w:color w:val="323232" w:themeColor="text1"/>
          <w:szCs w:val="21"/>
          <w14:textFill>
            <w14:solidFill>
              <w14:schemeClr w14:val="tx1"/>
            </w14:solidFill>
          </w14:textFill>
        </w:rPr>
        <w:t>于1</w:t>
      </w:r>
      <w:r>
        <w:rPr>
          <w:rFonts w:hint="eastAsia" w:ascii="宋体" w:hAnsi="宋体" w:cs="宋体"/>
          <w:color w:val="323232" w:themeColor="text1"/>
          <w:szCs w:val="21"/>
          <w14:textFill>
            <w14:solidFill>
              <w14:schemeClr w14:val="tx1"/>
            </w14:solidFill>
          </w14:textFill>
        </w:rPr>
        <w:t>的值；</w:t>
      </w:r>
    </w:p>
    <w:p>
      <w:pPr>
        <w:spacing w:line="360" w:lineRule="auto"/>
        <w:ind w:firstLine="630" w:firstLineChars="3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n</w:t>
      </w:r>
      <w:r>
        <w:rPr>
          <w:rFonts w:hint="eastAsia" w:ascii="宋体" w:hAnsi="宋体" w:cs="宋体"/>
          <w:color w:val="323232" w:themeColor="text1"/>
          <w:szCs w:val="21"/>
          <w14:textFill>
            <w14:solidFill>
              <w14:schemeClr w14:val="tx1"/>
            </w14:solidFill>
          </w14:textFill>
        </w:rPr>
        <w:t>——钻孔数量；</w:t>
      </w:r>
    </w:p>
    <w:p>
      <w:pPr>
        <w:spacing w:line="360" w:lineRule="auto"/>
        <w:ind w:firstLine="630" w:firstLineChars="3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d</w:t>
      </w:r>
      <w:r>
        <w:rPr>
          <w:rFonts w:hint="eastAsia" w:ascii="宋体" w:hAnsi="宋体" w:cs="宋体"/>
          <w:color w:val="323232" w:themeColor="text1"/>
          <w:szCs w:val="21"/>
          <w14:textFill>
            <w14:solidFill>
              <w14:schemeClr w14:val="tx1"/>
            </w14:solidFill>
          </w14:textFill>
        </w:rPr>
        <w:t>——钻孔直径（</w:t>
      </w:r>
      <w:r>
        <w:rPr>
          <w:color w:val="323232" w:themeColor="text1"/>
          <w:szCs w:val="21"/>
          <w14:textFill>
            <w14:solidFill>
              <w14:schemeClr w14:val="tx1"/>
            </w14:solidFill>
          </w14:textFill>
        </w:rPr>
        <w:t>m</w:t>
      </w:r>
      <w:r>
        <w:rPr>
          <w:rFonts w:hint="eastAsia" w:ascii="宋体" w:hAnsi="宋体" w:cs="宋体"/>
          <w:color w:val="323232" w:themeColor="text1"/>
          <w:szCs w:val="21"/>
          <w14:textFill>
            <w14:solidFill>
              <w14:schemeClr w14:val="tx1"/>
            </w14:solidFill>
          </w14:textFill>
        </w:rPr>
        <w:t>）；</w:t>
      </w:r>
    </w:p>
    <w:p>
      <w:pPr>
        <w:spacing w:line="360" w:lineRule="auto"/>
        <w:ind w:firstLine="630" w:firstLineChars="300"/>
        <w:jc w:val="left"/>
        <w:rPr>
          <w:rFonts w:ascii="宋体" w:hAnsi="宋体" w:cs="宋体"/>
          <w:color w:val="323232" w:themeColor="text1"/>
          <w:szCs w:val="21"/>
          <w14:textFill>
            <w14:solidFill>
              <w14:schemeClr w14:val="tx1"/>
            </w14:solidFill>
          </w14:textFill>
        </w:rPr>
      </w:pPr>
      <w:r>
        <w:rPr>
          <w:i/>
          <w:iCs/>
          <w:color w:val="323232" w:themeColor="text1"/>
          <w:szCs w:val="21"/>
          <w14:textFill>
            <w14:solidFill>
              <w14:schemeClr w14:val="tx1"/>
            </w14:solidFill>
          </w14:textFill>
        </w:rPr>
        <w:t>D</w:t>
      </w:r>
      <w:r>
        <w:rPr>
          <w:rFonts w:hint="eastAsia" w:ascii="宋体" w:hAnsi="宋体" w:cs="宋体"/>
          <w:color w:val="323232" w:themeColor="text1"/>
          <w:szCs w:val="21"/>
          <w14:textFill>
            <w14:solidFill>
              <w14:schemeClr w14:val="tx1"/>
            </w14:solidFill>
          </w14:textFill>
        </w:rPr>
        <w:t>——桩径</w:t>
      </w:r>
      <w:r>
        <w:rPr>
          <w:color w:val="323232" w:themeColor="text1"/>
          <w:szCs w:val="21"/>
          <w14:textFill>
            <w14:solidFill>
              <w14:schemeClr w14:val="tx1"/>
            </w14:solidFill>
          </w14:textFill>
        </w:rPr>
        <w:t>（m</w:t>
      </w:r>
      <w:r>
        <w:rPr>
          <w:rFonts w:hint="eastAsia" w:ascii="宋体" w:hAnsi="宋体" w:cs="宋体"/>
          <w:color w:val="323232" w:themeColor="text1"/>
          <w:szCs w:val="21"/>
          <w14:textFill>
            <w14:solidFill>
              <w14:schemeClr w14:val="tx1"/>
            </w14:solidFill>
          </w14:textFill>
        </w:rPr>
        <w:t>）。</w:t>
      </w:r>
    </w:p>
    <w:p>
      <w:pPr>
        <w:pStyle w:val="3"/>
        <w:rPr>
          <w:rFonts w:ascii="黑体" w:hAnsi="黑体" w:eastAsia="黑体" w:cs="黑体"/>
          <w:b w:val="0"/>
          <w:bCs/>
          <w:color w:val="000000"/>
        </w:rPr>
      </w:pPr>
      <w:bookmarkStart w:id="491" w:name="_Hlk96642722"/>
      <w:r>
        <w:rPr>
          <w:rFonts w:hint="eastAsia" w:ascii="Times New Roman" w:hAnsi="Times New Roman"/>
          <w:color w:val="323232" w:themeColor="text1"/>
          <w14:textFill>
            <w14:solidFill>
              <w14:schemeClr w14:val="tx1"/>
            </w14:solidFill>
          </w14:textFill>
        </w:rPr>
        <w:t xml:space="preserve"> </w:t>
      </w:r>
      <w:bookmarkStart w:id="492" w:name="_Toc14760"/>
      <w:bookmarkStart w:id="493" w:name="_Toc16227"/>
      <w:bookmarkStart w:id="494" w:name="_Toc226"/>
      <w:bookmarkStart w:id="495" w:name="_Toc4175"/>
      <w:bookmarkStart w:id="496" w:name="_Toc3572"/>
      <w:bookmarkStart w:id="497" w:name="_Toc31654"/>
      <w:bookmarkStart w:id="498" w:name="_Toc7149"/>
      <w:bookmarkStart w:id="499" w:name="_Toc24776"/>
      <w:bookmarkStart w:id="500" w:name="_Toc19582"/>
      <w:bookmarkStart w:id="501" w:name="_Toc31038"/>
      <w:bookmarkStart w:id="502" w:name="_Toc3563"/>
      <w:r>
        <w:rPr>
          <w:rFonts w:hint="eastAsia" w:ascii="Times New Roman" w:hAnsi="Times New Roman"/>
          <w:color w:val="323232" w:themeColor="text1"/>
          <w14:textFill>
            <w14:solidFill>
              <w14:schemeClr w14:val="tx1"/>
            </w14:solidFill>
          </w14:textFill>
        </w:rPr>
        <w:t xml:space="preserve">6.3  </w:t>
      </w:r>
      <w:r>
        <w:rPr>
          <w:rFonts w:hint="eastAsia" w:ascii="黑体" w:hAnsi="黑体" w:eastAsia="黑体" w:cs="黑体"/>
          <w:b w:val="0"/>
          <w:bCs/>
          <w:color w:val="000000"/>
        </w:rPr>
        <w:t>破碎法</w:t>
      </w:r>
      <w:bookmarkEnd w:id="492"/>
      <w:bookmarkEnd w:id="493"/>
      <w:bookmarkEnd w:id="494"/>
      <w:bookmarkEnd w:id="495"/>
      <w:bookmarkEnd w:id="496"/>
      <w:bookmarkEnd w:id="497"/>
      <w:bookmarkEnd w:id="498"/>
      <w:bookmarkEnd w:id="499"/>
      <w:bookmarkEnd w:id="500"/>
      <w:bookmarkEnd w:id="501"/>
      <w:bookmarkEnd w:id="502"/>
    </w:p>
    <w:bookmarkEnd w:id="491"/>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w:t>
      </w:r>
      <w:r>
        <w:rPr>
          <w:b/>
          <w:bCs/>
          <w:color w:val="323232" w:themeColor="text1"/>
          <w:szCs w:val="21"/>
          <w14:textFill>
            <w14:solidFill>
              <w14:schemeClr w14:val="tx1"/>
            </w14:solidFill>
          </w14:textFill>
        </w:rPr>
        <w:t>.3.1</w:t>
      </w:r>
      <w:r>
        <w:rPr>
          <w:rFonts w:hint="eastAsia"/>
          <w:b/>
          <w:bCs/>
          <w:color w:val="323232" w:themeColor="text1"/>
          <w:szCs w:val="21"/>
          <w14:textFill>
            <w14:solidFill>
              <w14:schemeClr w14:val="tx1"/>
            </w14:solidFill>
          </w14:textFill>
        </w:rPr>
        <w:t xml:space="preserve"> </w:t>
      </w:r>
      <w:r>
        <w:rPr>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既有桩基破碎法施工可选用干作业法和泥浆循环法。</w:t>
      </w:r>
    </w:p>
    <w:p>
      <w:pPr>
        <w:spacing w:line="360" w:lineRule="auto"/>
        <w:ind w:firstLine="0" w:firstLineChars="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6.3.2  </w:t>
      </w:r>
      <w:r>
        <w:rPr>
          <w:rFonts w:hint="eastAsia"/>
          <w:color w:val="323232" w:themeColor="text1"/>
          <w:szCs w:val="21"/>
          <w14:textFill>
            <w14:solidFill>
              <w14:schemeClr w14:val="tx1"/>
            </w14:solidFill>
          </w14:textFill>
        </w:rPr>
        <w:t>干作业法在桩周设置钢套管，然后通过机械或人工将桩身破碎后清除；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6.3.</w:t>
      </w:r>
      <w:r>
        <w:rPr>
          <w:b/>
          <w:bCs/>
          <w:color w:val="323232" w:themeColor="text1"/>
          <w:szCs w:val="21"/>
          <w14:textFill>
            <w14:solidFill>
              <w14:schemeClr w14:val="tx1"/>
            </w14:solidFill>
          </w14:textFill>
        </w:rPr>
        <w:t>3</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干作业法施工应符合下列规定：</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w:t>
      </w:r>
      <w:r>
        <w:rPr>
          <w:rFonts w:hint="eastAsia"/>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干作业法宜用于地下水位以上，在有承压水的土层中不得使用。</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2</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套管的内径应大于既有桩基直径0.6m，且不宜大于2.5m；孔深不得大于60m，人工作业时不得大于30m。</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 xml:space="preserve"> </w:t>
      </w:r>
      <w:r>
        <w:rPr>
          <w:rFonts w:hint="eastAsia"/>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当既有桩基净距小于2.5m时应间隔开挖，待相邻桩基清除并回填后方可施工。相邻排桩跳挖的最小施工净距不得小于4.5m。</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6.3.</w:t>
      </w:r>
      <w:r>
        <w:rPr>
          <w:b/>
          <w:bCs/>
          <w:color w:val="323232" w:themeColor="text1"/>
          <w:szCs w:val="21"/>
          <w14:textFill>
            <w14:solidFill>
              <w14:schemeClr w14:val="tx1"/>
            </w14:solidFill>
          </w14:textFill>
        </w:rPr>
        <w:t>4</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 xml:space="preserve"> 当采用人工下孔作业时应符合下列规定：</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孔内必须设置应急软爬梯供人员上下；使用的电葫芦、吊笼等应安全可靠，并配有自动卡紧保险装置；不得用绳索吊挂或脚踏井壁凸缘上下；</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每次作业前测试孔中的有毒气体，并有相应的安全防范措施；开挖深度超过10m时，应配置专门的井下送风设备，风量不宜少于25L/s；</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 </w:t>
      </w:r>
      <w:r>
        <w:rPr>
          <w:rFonts w:hint="eastAsia"/>
          <w:color w:val="323232" w:themeColor="text1"/>
          <w:szCs w:val="21"/>
          <w14:textFill>
            <w14:solidFill>
              <w14:schemeClr w14:val="tx1"/>
            </w14:solidFill>
          </w14:textFill>
        </w:rPr>
        <w:t xml:space="preserve"> 孔口四周必须设置护栏、临时排水沟及警示标志，护栏高度宜为1.2m；</w:t>
      </w:r>
    </w:p>
    <w:p>
      <w:pPr>
        <w:spacing w:line="360" w:lineRule="auto"/>
        <w:ind w:firstLine="48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  </w:t>
      </w:r>
      <w:r>
        <w:rPr>
          <w:rFonts w:hint="eastAsia"/>
          <w:color w:val="323232" w:themeColor="text1"/>
          <w:szCs w:val="21"/>
          <w14:textFill>
            <w14:solidFill>
              <w14:schemeClr w14:val="tx1"/>
            </w14:solidFill>
          </w14:textFill>
        </w:rPr>
        <w:t>挖出的渣土应及时运离孔口，不得堆放在孔口周围1m范围内，高度不得超过1.5m。</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6.3.</w:t>
      </w:r>
      <w:r>
        <w:rPr>
          <w:b/>
          <w:bCs/>
          <w:color w:val="323232" w:themeColor="text1"/>
          <w:szCs w:val="21"/>
          <w14:textFill>
            <w14:solidFill>
              <w14:schemeClr w14:val="tx1"/>
            </w14:solidFill>
          </w14:textFill>
        </w:rPr>
        <w:t xml:space="preserve">5 </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泥浆循环法利用机械冲击破碎桩身，采用泥浆循环方式排渣。</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6.3.</w:t>
      </w:r>
      <w:r>
        <w:rPr>
          <w:b/>
          <w:bCs/>
          <w:color w:val="323232" w:themeColor="text1"/>
          <w:szCs w:val="21"/>
          <w14:textFill>
            <w14:solidFill>
              <w14:schemeClr w14:val="tx1"/>
            </w14:solidFill>
          </w14:textFill>
        </w:rPr>
        <w:t>6</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泥浆循环法施工应符合下列规定：</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w:t>
      </w:r>
      <w:r>
        <w:rPr>
          <w:rFonts w:hint="eastAsia"/>
          <w:b/>
          <w:bCs/>
          <w:color w:val="323232" w:themeColor="text1"/>
          <w:szCs w:val="21"/>
          <w14:textFill>
            <w14:solidFill>
              <w14:schemeClr w14:val="tx1"/>
            </w14:solidFill>
          </w14:textFill>
        </w:rPr>
        <w:t xml:space="preserve"> </w:t>
      </w:r>
      <w:r>
        <w:rPr>
          <w:rFonts w:hint="eastAsia"/>
          <w:lang w:val="en-US" w:eastAsia="zh-CN"/>
        </w:rPr>
        <w:t xml:space="preserve"> </w:t>
      </w:r>
      <w:r>
        <w:rPr>
          <w:rFonts w:hint="eastAsia"/>
          <w:color w:val="323232" w:themeColor="text1"/>
          <w:szCs w:val="21"/>
          <w14:textFill>
            <w14:solidFill>
              <w14:schemeClr w14:val="tx1"/>
            </w14:solidFill>
          </w14:textFill>
        </w:rPr>
        <w:t>冲击钻头直径宜大于既有桩基直径0.6m。</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2</w:t>
      </w:r>
      <w:r>
        <w:rPr>
          <w:rFonts w:hint="eastAsia"/>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泥浆制备应用高塑性黏土或膨润土。泥浆应根据施工机械、工艺及穿越土层情况合理配制。</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3</w:t>
      </w:r>
      <w:r>
        <w:rPr>
          <w:rFonts w:hint="eastAsia"/>
          <w:b/>
          <w:bCs/>
          <w:color w:val="323232" w:themeColor="text1"/>
          <w:szCs w:val="21"/>
          <w14:textFill>
            <w14:solidFill>
              <w14:schemeClr w14:val="tx1"/>
            </w14:solidFill>
          </w14:textFill>
        </w:rPr>
        <w:t xml:space="preserve"> </w:t>
      </w:r>
      <w:r>
        <w:rPr>
          <w:rFonts w:hint="eastAsia"/>
          <w:b/>
          <w:bCs/>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泥浆循环法施工时宜采用孔口护筒，护筒内径应大于钻头直径100mm；护筒的埋设深度，在黏性土中不宜小于1.0m，砂土中不宜小于1.5m，护筒下端外侧应采用黏土填实，其高度尚应满足孔内泥浆面高度的要求。</w:t>
      </w:r>
    </w:p>
    <w:p>
      <w:pPr>
        <w:spacing w:line="360" w:lineRule="auto"/>
        <w:ind w:firstLine="422" w:firstLineChars="20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4</w:t>
      </w:r>
      <w:r>
        <w:rPr>
          <w:rFonts w:hint="eastAsia"/>
          <w:color w:val="323232" w:themeColor="text1"/>
          <w:szCs w:val="21"/>
          <w14:textFill>
            <w14:solidFill>
              <w14:schemeClr w14:val="tx1"/>
            </w14:solidFill>
          </w14:textFill>
        </w:rPr>
        <w:t xml:space="preserve"> </w:t>
      </w:r>
      <w:r>
        <w:rPr>
          <w:rFonts w:hint="eastAsia"/>
          <w:color w:val="323232" w:themeColor="text1"/>
          <w:szCs w:val="21"/>
          <w:lang w:val="en-US" w:eastAsia="zh-CN"/>
          <w14:textFill>
            <w14:solidFill>
              <w14:schemeClr w14:val="tx1"/>
            </w14:solidFill>
          </w14:textFill>
        </w:rPr>
        <w:t xml:space="preserve"> </w:t>
      </w:r>
      <w:r>
        <w:rPr>
          <w:rFonts w:hint="eastAsia"/>
          <w:color w:val="323232" w:themeColor="text1"/>
          <w:szCs w:val="21"/>
          <w14:textFill>
            <w14:solidFill>
              <w14:schemeClr w14:val="tx1"/>
            </w14:solidFill>
          </w14:textFill>
        </w:rPr>
        <w:t>废弃的浆、渣应进行处理，不得污染环境。</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6.3.</w:t>
      </w:r>
      <w:r>
        <w:rPr>
          <w:b/>
          <w:bCs/>
          <w:color w:val="323232" w:themeColor="text1"/>
          <w:szCs w:val="21"/>
          <w14:textFill>
            <w14:solidFill>
              <w14:schemeClr w14:val="tx1"/>
            </w14:solidFill>
          </w14:textFill>
        </w:rPr>
        <w:t>7</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既有桩基与拟建建筑桩基设计桩位一致时，破碎清除法</w:t>
      </w:r>
      <w:bookmarkStart w:id="503" w:name="_Hlk96640820"/>
      <w:r>
        <w:rPr>
          <w:rFonts w:hint="eastAsia"/>
          <w:color w:val="323232" w:themeColor="text1"/>
          <w:szCs w:val="21"/>
          <w14:textFill>
            <w14:solidFill>
              <w14:schemeClr w14:val="tx1"/>
            </w14:solidFill>
          </w14:textFill>
        </w:rPr>
        <w:t>可与拟建建筑桩基施工配合进行</w:t>
      </w:r>
      <w:bookmarkEnd w:id="503"/>
      <w:r>
        <w:rPr>
          <w:rFonts w:hint="eastAsia"/>
          <w:color w:val="323232" w:themeColor="text1"/>
          <w:szCs w:val="21"/>
          <w14:textFill>
            <w14:solidFill>
              <w14:schemeClr w14:val="tx1"/>
            </w14:solidFill>
          </w14:textFill>
        </w:rPr>
        <w:t>，此时尚应符合灌注桩施工相关标准。</w:t>
      </w:r>
    </w:p>
    <w:p>
      <w:pPr>
        <w:pStyle w:val="3"/>
        <w:rPr>
          <w:rFonts w:ascii="Times New Roman" w:hAnsi="Times New Roman"/>
          <w:color w:val="323232" w:themeColor="text1"/>
          <w14:textFill>
            <w14:solidFill>
              <w14:schemeClr w14:val="tx1"/>
            </w14:solidFill>
          </w14:textFill>
        </w:rPr>
      </w:pPr>
      <w:bookmarkStart w:id="504" w:name="_Toc529"/>
      <w:bookmarkStart w:id="505" w:name="_Toc2753"/>
      <w:bookmarkStart w:id="506" w:name="_Toc4937"/>
      <w:bookmarkStart w:id="507" w:name="_Toc16770"/>
      <w:bookmarkStart w:id="508" w:name="_Toc14213"/>
      <w:bookmarkStart w:id="509" w:name="_Toc7645"/>
      <w:bookmarkStart w:id="510" w:name="_Toc24900"/>
      <w:bookmarkStart w:id="511" w:name="_Toc7871"/>
      <w:bookmarkStart w:id="512" w:name="_Toc3026"/>
      <w:bookmarkStart w:id="513" w:name="_Toc15180"/>
      <w:bookmarkStart w:id="514" w:name="_Toc25369"/>
      <w:r>
        <w:rPr>
          <w:rFonts w:hint="eastAsia" w:ascii="Times New Roman" w:hAnsi="Times New Roman"/>
          <w:color w:val="323232" w:themeColor="text1"/>
          <w14:textFill>
            <w14:solidFill>
              <w14:schemeClr w14:val="tx1"/>
            </w14:solidFill>
          </w14:textFill>
        </w:rPr>
        <w:t xml:space="preserve">6.4  </w:t>
      </w:r>
      <w:r>
        <w:rPr>
          <w:rFonts w:hint="eastAsia" w:ascii="黑体" w:hAnsi="黑体" w:eastAsia="黑体" w:cs="黑体"/>
          <w:b w:val="0"/>
          <w:bCs/>
          <w:color w:val="000000"/>
        </w:rPr>
        <w:t>水上施工</w:t>
      </w:r>
      <w:bookmarkEnd w:id="504"/>
      <w:bookmarkEnd w:id="505"/>
      <w:bookmarkEnd w:id="506"/>
      <w:bookmarkEnd w:id="507"/>
      <w:bookmarkEnd w:id="508"/>
      <w:bookmarkEnd w:id="509"/>
      <w:bookmarkEnd w:id="510"/>
      <w:bookmarkEnd w:id="511"/>
      <w:bookmarkEnd w:id="512"/>
      <w:bookmarkEnd w:id="513"/>
      <w:bookmarkEnd w:id="514"/>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6.4.1 </w:t>
      </w:r>
      <w:r>
        <w:rPr>
          <w:rFonts w:hint="eastAsia"/>
          <w:color w:val="323232" w:themeColor="text1"/>
          <w:szCs w:val="21"/>
          <w14:textFill>
            <w14:solidFill>
              <w14:schemeClr w14:val="tx1"/>
            </w14:solidFill>
          </w14:textFill>
        </w:rPr>
        <w:t xml:space="preserve"> 对于水上清除施工，可采用钢栈桥、打桩船或平台船作为水上施工平台进行施工。</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6.4.2 </w:t>
      </w:r>
      <w:r>
        <w:rPr>
          <w:rFonts w:hint="eastAsia"/>
          <w:color w:val="323232" w:themeColor="text1"/>
          <w:szCs w:val="21"/>
          <w14:textFill>
            <w14:solidFill>
              <w14:schemeClr w14:val="tx1"/>
            </w14:solidFill>
          </w14:textFill>
        </w:rPr>
        <w:t xml:space="preserve"> 水上施工所用的钢栈桥、打桩船或平台船应满足清除作业所需的起重能力、起吊高度和工作半径，施工场地和施工水域的条件应满足清除机械作业或船舶吃水的要求。</w:t>
      </w:r>
    </w:p>
    <w:p>
      <w:pPr>
        <w:widowControl/>
        <w:snapToGrid w:val="0"/>
        <w:spacing w:line="360" w:lineRule="auto"/>
        <w:rPr>
          <w:color w:val="323232" w:themeColor="text1"/>
          <w:kern w:val="0"/>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6.4.3 </w:t>
      </w:r>
      <w:r>
        <w:rPr>
          <w:rFonts w:hint="eastAsia"/>
          <w:color w:val="323232" w:themeColor="text1"/>
          <w:szCs w:val="21"/>
          <w14:textFill>
            <w14:solidFill>
              <w14:schemeClr w14:val="tx1"/>
            </w14:solidFill>
          </w14:textFill>
        </w:rPr>
        <w:t xml:space="preserve"> </w:t>
      </w:r>
      <w:r>
        <w:rPr>
          <w:rFonts w:hint="eastAsia"/>
          <w:color w:val="323232" w:themeColor="text1"/>
          <w:kern w:val="0"/>
          <w:szCs w:val="21"/>
          <w14:textFill>
            <w14:solidFill>
              <w14:schemeClr w14:val="tx1"/>
            </w14:solidFill>
          </w14:textFill>
        </w:rPr>
        <w:t>水上施工期间，作业平台周边应设置防护栏杆；如设置防护栏杆有困难时，作业人员必须系安全带等个人安全防护用品。各作业点必须有足够的救生设备。</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6.4.4  </w:t>
      </w:r>
      <w:r>
        <w:rPr>
          <w:rFonts w:hint="eastAsia"/>
          <w:color w:val="323232" w:themeColor="text1"/>
          <w:szCs w:val="21"/>
          <w14:textFill>
            <w14:solidFill>
              <w14:schemeClr w14:val="tx1"/>
            </w14:solidFill>
          </w14:textFill>
        </w:rPr>
        <w:t>水上施工时，应按相关规定设置警示标志、警示灯等安全防范设施。</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6.4.5  </w:t>
      </w:r>
      <w:r>
        <w:rPr>
          <w:rFonts w:hint="eastAsia"/>
          <w:color w:val="323232" w:themeColor="text1"/>
          <w:szCs w:val="21"/>
          <w14:textFill>
            <w14:solidFill>
              <w14:schemeClr w14:val="tx1"/>
            </w14:solidFill>
          </w14:textFill>
        </w:rPr>
        <w:t>在风浪较大区域或台风季节施工，应按要求对作业平台进行加固。</w:t>
      </w:r>
    </w:p>
    <w:p>
      <w:pPr>
        <w:pStyle w:val="3"/>
        <w:rPr>
          <w:rFonts w:ascii="Times New Roman" w:hAnsi="Times New Roman"/>
          <w:color w:val="323232" w:themeColor="text1"/>
          <w14:textFill>
            <w14:solidFill>
              <w14:schemeClr w14:val="tx1"/>
            </w14:solidFill>
          </w14:textFill>
        </w:rPr>
      </w:pPr>
      <w:bookmarkStart w:id="515" w:name="_Toc19982"/>
      <w:bookmarkStart w:id="516" w:name="_Toc5098"/>
      <w:bookmarkStart w:id="517" w:name="_Toc16844"/>
      <w:bookmarkStart w:id="518" w:name="_Toc30509"/>
      <w:bookmarkStart w:id="519" w:name="_Toc3375"/>
      <w:bookmarkStart w:id="520" w:name="_Toc10679"/>
      <w:bookmarkStart w:id="521" w:name="_Toc3444"/>
      <w:bookmarkStart w:id="522" w:name="_Toc5298"/>
      <w:bookmarkStart w:id="523" w:name="_Toc14468"/>
      <w:bookmarkStart w:id="524" w:name="_Toc13624"/>
      <w:bookmarkStart w:id="525" w:name="_Toc28551"/>
      <w:bookmarkStart w:id="526" w:name="_Hlk96643028"/>
      <w:r>
        <w:rPr>
          <w:rFonts w:hint="eastAsia" w:ascii="Times New Roman" w:hAnsi="Times New Roman"/>
          <w:color w:val="323232" w:themeColor="text1"/>
          <w14:textFill>
            <w14:solidFill>
              <w14:schemeClr w14:val="tx1"/>
            </w14:solidFill>
          </w14:textFill>
        </w:rPr>
        <w:t xml:space="preserve">6.5  </w:t>
      </w:r>
      <w:r>
        <w:rPr>
          <w:rFonts w:hint="eastAsia" w:ascii="黑体" w:hAnsi="黑体" w:eastAsia="黑体" w:cs="黑体"/>
          <w:b w:val="0"/>
          <w:bCs/>
          <w:color w:val="000000"/>
        </w:rPr>
        <w:t>桩孔处理</w:t>
      </w:r>
      <w:bookmarkEnd w:id="515"/>
      <w:bookmarkEnd w:id="516"/>
      <w:bookmarkEnd w:id="517"/>
      <w:bookmarkEnd w:id="518"/>
      <w:bookmarkEnd w:id="519"/>
      <w:bookmarkEnd w:id="520"/>
      <w:bookmarkEnd w:id="521"/>
      <w:bookmarkEnd w:id="522"/>
      <w:bookmarkEnd w:id="523"/>
      <w:bookmarkEnd w:id="524"/>
      <w:bookmarkEnd w:id="525"/>
    </w:p>
    <w:bookmarkEnd w:id="526"/>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6.5.1  </w:t>
      </w:r>
      <w:r>
        <w:rPr>
          <w:rFonts w:hint="eastAsia"/>
          <w:color w:val="323232" w:themeColor="text1"/>
          <w:szCs w:val="21"/>
          <w14:textFill>
            <w14:solidFill>
              <w14:schemeClr w14:val="tx1"/>
            </w14:solidFill>
          </w14:textFill>
        </w:rPr>
        <w:t>清除完毕后应及时对桩孔进行回填处理。回填可采用砂土或含量5~10%的水泥土，用振动、挤密、压实等方法填入；也可采用素土回填后注入水泥浆处理。不得使用较大块石回填，以免影响后期基础施工。</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6.5.2  </w:t>
      </w:r>
      <w:r>
        <w:rPr>
          <w:rFonts w:hint="eastAsia"/>
          <w:color w:val="323232" w:themeColor="text1"/>
          <w:szCs w:val="21"/>
          <w14:textFill>
            <w14:solidFill>
              <w14:schemeClr w14:val="tx1"/>
            </w14:solidFill>
          </w14:textFill>
        </w:rPr>
        <w:t>回填前宜将桩孔内积水或泥浆抽除。</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6.5.3  </w:t>
      </w:r>
      <w:r>
        <w:rPr>
          <w:rFonts w:hint="eastAsia"/>
          <w:color w:val="323232" w:themeColor="text1"/>
          <w:szCs w:val="21"/>
          <w14:textFill>
            <w14:solidFill>
              <w14:schemeClr w14:val="tx1"/>
            </w14:solidFill>
          </w14:textFill>
        </w:rPr>
        <w:t>采用下套管减阻措施时，回填宜与拔管同步进行，套管不得超前回填高度。</w:t>
      </w:r>
    </w:p>
    <w:p>
      <w:pPr>
        <w:spacing w:line="360" w:lineRule="auto"/>
        <w:jc w:val="center"/>
        <w:outlineLvl w:val="0"/>
        <w:rPr>
          <w:color w:val="323232" w:themeColor="text1"/>
          <w14:textFill>
            <w14:solidFill>
              <w14:schemeClr w14:val="tx1"/>
            </w14:solidFill>
          </w14:textFill>
        </w:rPr>
      </w:pPr>
      <w:r>
        <w:rPr>
          <w:rFonts w:hint="eastAsia"/>
          <w:color w:val="323232" w:themeColor="text1"/>
          <w14:textFill>
            <w14:solidFill>
              <w14:schemeClr w14:val="tx1"/>
            </w14:solidFill>
          </w14:textFill>
        </w:rPr>
        <w:br w:type="page"/>
      </w:r>
      <w:bookmarkStart w:id="527" w:name="_Toc342"/>
      <w:bookmarkStart w:id="528" w:name="_Toc12"/>
      <w:bookmarkStart w:id="529" w:name="_Toc9406"/>
      <w:bookmarkStart w:id="530" w:name="_Toc5844"/>
      <w:bookmarkStart w:id="531" w:name="_Toc29055"/>
      <w:bookmarkStart w:id="532" w:name="_Toc17263"/>
      <w:bookmarkStart w:id="533" w:name="_Toc23605"/>
      <w:bookmarkStart w:id="534" w:name="_Toc560"/>
      <w:bookmarkStart w:id="535" w:name="_Toc30923"/>
      <w:bookmarkStart w:id="536" w:name="_Toc21538"/>
      <w:bookmarkStart w:id="537" w:name="_Toc30465"/>
      <w:r>
        <w:rPr>
          <w:rFonts w:hint="eastAsia" w:eastAsia="黑体"/>
          <w:color w:val="323232" w:themeColor="text1"/>
          <w:kern w:val="44"/>
          <w:sz w:val="32"/>
          <w:szCs w:val="32"/>
          <w14:textFill>
            <w14:solidFill>
              <w14:schemeClr w14:val="tx1"/>
            </w14:solidFill>
          </w14:textFill>
        </w:rPr>
        <w:t>7 检验与验收</w:t>
      </w:r>
      <w:bookmarkEnd w:id="527"/>
      <w:bookmarkEnd w:id="528"/>
      <w:bookmarkEnd w:id="529"/>
      <w:bookmarkEnd w:id="530"/>
      <w:bookmarkEnd w:id="531"/>
      <w:bookmarkEnd w:id="532"/>
      <w:bookmarkEnd w:id="533"/>
      <w:bookmarkEnd w:id="534"/>
      <w:bookmarkEnd w:id="535"/>
      <w:bookmarkEnd w:id="536"/>
      <w:bookmarkEnd w:id="537"/>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7.0.1</w:t>
      </w:r>
      <w:r>
        <w:rPr>
          <w:rFonts w:hint="eastAsia"/>
          <w:color w:val="323232" w:themeColor="text1"/>
          <w:szCs w:val="21"/>
          <w14:textFill>
            <w14:solidFill>
              <w14:schemeClr w14:val="tx1"/>
            </w14:solidFill>
          </w14:textFill>
        </w:rPr>
        <w:t xml:space="preserve">  既有桩基清除完成后应进行检验与验收。</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7.0.2 </w:t>
      </w:r>
      <w:r>
        <w:rPr>
          <w:rFonts w:hint="eastAsia"/>
          <w:color w:val="323232" w:themeColor="text1"/>
          <w:szCs w:val="21"/>
          <w14:textFill>
            <w14:solidFill>
              <w14:schemeClr w14:val="tx1"/>
            </w14:solidFill>
          </w14:textFill>
        </w:rPr>
        <w:t xml:space="preserve"> 检验与验收宜按检验批进行抽检，检验批可按照不同的清除方法、既有桩基现状、清除要求等划分。</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7.0.3  </w:t>
      </w:r>
      <w:r>
        <w:rPr>
          <w:rFonts w:hint="eastAsia"/>
          <w:color w:val="323232" w:themeColor="text1"/>
          <w:szCs w:val="21"/>
          <w14:textFill>
            <w14:solidFill>
              <w14:schemeClr w14:val="tx1"/>
            </w14:solidFill>
          </w14:textFill>
        </w:rPr>
        <w:t>既有桩基清除后的质量检验标准应符合表7.0.3的规定。</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7.0.4  </w:t>
      </w:r>
      <w:r>
        <w:rPr>
          <w:rFonts w:hint="eastAsia"/>
          <w:color w:val="323232" w:themeColor="text1"/>
          <w:szCs w:val="21"/>
          <w14:textFill>
            <w14:solidFill>
              <w14:schemeClr w14:val="tx1"/>
            </w14:solidFill>
          </w14:textFill>
        </w:rPr>
        <w:t>深度范围内的清除深度和桩孔回填质量可通过圆锥动力触探试验、标准贯入试验进行检验，检验深度应大于设计清除深度1.0m。在设计清除深度内出现无法打入或锤击数异常大时，可认为清除深度不满足设计要求；回填土的密实度判定可按照现行国家标准《岩土工程勘察规范》GB50021执行。</w:t>
      </w:r>
    </w:p>
    <w:p>
      <w:pPr>
        <w:spacing w:line="360" w:lineRule="auto"/>
        <w:rPr>
          <w:rFonts w:hint="eastAsia"/>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7</w:t>
      </w:r>
      <w:r>
        <w:rPr>
          <w:b/>
          <w:bCs/>
          <w:color w:val="323232" w:themeColor="text1"/>
          <w:szCs w:val="21"/>
          <w14:textFill>
            <w14:solidFill>
              <w14:schemeClr w14:val="tx1"/>
            </w14:solidFill>
          </w14:textFill>
        </w:rPr>
        <w:t>.0.5</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水平范围的清除质量可通过局部开挖验证。</w:t>
      </w:r>
    </w:p>
    <w:p>
      <w:pPr>
        <w:spacing w:line="360" w:lineRule="auto"/>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7.0.</w:t>
      </w:r>
      <w:r>
        <w:rPr>
          <w:b/>
          <w:bCs/>
          <w:color w:val="323232" w:themeColor="text1"/>
          <w:szCs w:val="21"/>
          <w14:textFill>
            <w14:solidFill>
              <w14:schemeClr w14:val="tx1"/>
            </w14:solidFill>
          </w14:textFill>
        </w:rPr>
        <w:t>6</w:t>
      </w:r>
      <w:r>
        <w:rPr>
          <w:rFonts w:hint="eastAsia"/>
          <w:b/>
          <w:bCs/>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清除完成后验收应具备下列资料：</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1  </w:t>
      </w:r>
      <w:r>
        <w:rPr>
          <w:rFonts w:hint="eastAsia"/>
          <w:color w:val="323232" w:themeColor="text1"/>
          <w:szCs w:val="21"/>
          <w14:textFill>
            <w14:solidFill>
              <w14:schemeClr w14:val="tx1"/>
            </w14:solidFill>
          </w14:textFill>
        </w:rPr>
        <w:t>既有桩基现状资料，包括设计图纸、工前检验报告等；</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2 </w:t>
      </w:r>
      <w:r>
        <w:rPr>
          <w:rFonts w:hint="eastAsia"/>
          <w:color w:val="323232" w:themeColor="text1"/>
          <w:szCs w:val="21"/>
          <w14:textFill>
            <w14:solidFill>
              <w14:schemeClr w14:val="tx1"/>
            </w14:solidFill>
          </w14:textFill>
        </w:rPr>
        <w:t xml:space="preserve"> 岩土工程勘察报告，包括原勘察报告、补充勘察报告等；</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3  </w:t>
      </w:r>
      <w:r>
        <w:rPr>
          <w:rFonts w:hint="eastAsia"/>
          <w:color w:val="323232" w:themeColor="text1"/>
          <w:szCs w:val="21"/>
          <w14:textFill>
            <w14:solidFill>
              <w14:schemeClr w14:val="tx1"/>
            </w14:solidFill>
          </w14:textFill>
        </w:rPr>
        <w:t>施工组织设计或施工方案；</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4 </w:t>
      </w:r>
      <w:r>
        <w:rPr>
          <w:rFonts w:hint="eastAsia"/>
          <w:color w:val="323232" w:themeColor="text1"/>
          <w:szCs w:val="21"/>
          <w14:textFill>
            <w14:solidFill>
              <w14:schemeClr w14:val="tx1"/>
            </w14:solidFill>
          </w14:textFill>
        </w:rPr>
        <w:t xml:space="preserve"> 施工记录及施工影像资料；</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5 </w:t>
      </w:r>
      <w:r>
        <w:rPr>
          <w:rFonts w:hint="eastAsia"/>
          <w:color w:val="323232" w:themeColor="text1"/>
          <w:szCs w:val="21"/>
          <w14:textFill>
            <w14:solidFill>
              <w14:schemeClr w14:val="tx1"/>
            </w14:solidFill>
          </w14:textFill>
        </w:rPr>
        <w:t xml:space="preserve"> 施工监测资料；</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6 </w:t>
      </w:r>
      <w:r>
        <w:rPr>
          <w:rFonts w:hint="eastAsia"/>
          <w:color w:val="323232" w:themeColor="text1"/>
          <w:szCs w:val="21"/>
          <w14:textFill>
            <w14:solidFill>
              <w14:schemeClr w14:val="tx1"/>
            </w14:solidFill>
          </w14:textFill>
        </w:rPr>
        <w:t xml:space="preserve"> 完工后的检验资料；</w:t>
      </w:r>
    </w:p>
    <w:p>
      <w:pPr>
        <w:spacing w:line="360" w:lineRule="auto"/>
        <w:ind w:firstLine="422" w:firstLineChars="200"/>
        <w:rPr>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7</w:t>
      </w:r>
      <w:r>
        <w:rPr>
          <w:rFonts w:hint="eastAsia"/>
          <w:color w:val="323232" w:themeColor="text1"/>
          <w:szCs w:val="21"/>
          <w14:textFill>
            <w14:solidFill>
              <w14:schemeClr w14:val="tx1"/>
            </w14:solidFill>
          </w14:textFill>
        </w:rPr>
        <w:t xml:space="preserve">  施工技术措施记录；</w:t>
      </w:r>
    </w:p>
    <w:p>
      <w:pPr>
        <w:spacing w:line="360" w:lineRule="auto"/>
        <w:ind w:firstLine="422" w:firstLineChars="200"/>
        <w:rPr>
          <w:rFonts w:hint="eastAsia"/>
          <w:color w:val="323232" w:themeColor="text1"/>
          <w:szCs w:val="21"/>
          <w14:textFill>
            <w14:solidFill>
              <w14:schemeClr w14:val="tx1"/>
            </w14:solidFill>
          </w14:textFill>
        </w:rPr>
      </w:pPr>
      <w:r>
        <w:rPr>
          <w:rFonts w:hint="eastAsia"/>
          <w:b/>
          <w:bCs/>
          <w:color w:val="323232" w:themeColor="text1"/>
          <w:szCs w:val="21"/>
          <w14:textFill>
            <w14:solidFill>
              <w14:schemeClr w14:val="tx1"/>
            </w14:solidFill>
          </w14:textFill>
        </w:rPr>
        <w:t xml:space="preserve">8  </w:t>
      </w:r>
      <w:r>
        <w:rPr>
          <w:rFonts w:hint="eastAsia"/>
          <w:color w:val="323232" w:themeColor="text1"/>
          <w:szCs w:val="21"/>
          <w14:textFill>
            <w14:solidFill>
              <w14:schemeClr w14:val="tx1"/>
            </w14:solidFill>
          </w14:textFill>
        </w:rPr>
        <w:t>发生质量事故时的处理记录（如有）。</w:t>
      </w:r>
    </w:p>
    <w:p>
      <w:pPr>
        <w:snapToGrid w:val="0"/>
        <w:spacing w:line="240" w:lineRule="auto"/>
        <w:ind w:firstLine="0" w:firstLineChars="0"/>
        <w:jc w:val="center"/>
        <w:rPr>
          <w:rFonts w:hint="eastAsia" w:eastAsia="黑体"/>
          <w:sz w:val="18"/>
          <w:szCs w:val="18"/>
        </w:rPr>
      </w:pPr>
      <w:r>
        <w:rPr>
          <w:rFonts w:hint="eastAsia" w:eastAsia="黑体"/>
          <w:sz w:val="18"/>
          <w:szCs w:val="18"/>
        </w:rPr>
        <w:t>表7.0.3 既有桩基清除后的质量检验标准</w:t>
      </w:r>
    </w:p>
    <w:tbl>
      <w:tblPr>
        <w:tblStyle w:val="15"/>
        <w:tblW w:w="592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62"/>
        <w:gridCol w:w="339"/>
        <w:gridCol w:w="1345"/>
        <w:gridCol w:w="1320"/>
        <w:gridCol w:w="1159"/>
        <w:gridCol w:w="1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501" w:hRule="atLeast"/>
          <w:jc w:val="center"/>
        </w:trPr>
        <w:tc>
          <w:tcPr>
            <w:tcW w:w="462"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项</w:t>
            </w:r>
          </w:p>
        </w:tc>
        <w:tc>
          <w:tcPr>
            <w:tcW w:w="33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序</w:t>
            </w:r>
          </w:p>
        </w:tc>
        <w:tc>
          <w:tcPr>
            <w:tcW w:w="134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检查项目</w:t>
            </w:r>
          </w:p>
        </w:tc>
        <w:tc>
          <w:tcPr>
            <w:tcW w:w="132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允许偏差</w:t>
            </w:r>
          </w:p>
        </w:tc>
        <w:tc>
          <w:tcPr>
            <w:tcW w:w="115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检查方法</w:t>
            </w:r>
          </w:p>
        </w:tc>
        <w:tc>
          <w:tcPr>
            <w:tcW w:w="1301"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检查数量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9" w:hRule="atLeast"/>
          <w:jc w:val="center"/>
        </w:trPr>
        <w:tc>
          <w:tcPr>
            <w:tcW w:w="462" w:type="dxa"/>
            <w:vMerge w:val="restart"/>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主控项目</w:t>
            </w:r>
          </w:p>
        </w:tc>
        <w:tc>
          <w:tcPr>
            <w:tcW w:w="33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w:t>
            </w:r>
          </w:p>
        </w:tc>
        <w:tc>
          <w:tcPr>
            <w:tcW w:w="134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水平范围内清除质量</w:t>
            </w:r>
          </w:p>
        </w:tc>
        <w:tc>
          <w:tcPr>
            <w:tcW w:w="132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不小于设计桩径</w:t>
            </w:r>
          </w:p>
        </w:tc>
        <w:tc>
          <w:tcPr>
            <w:tcW w:w="115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局部开挖验证</w:t>
            </w:r>
          </w:p>
        </w:tc>
        <w:tc>
          <w:tcPr>
            <w:tcW w:w="1301"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不少于5处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29" w:hRule="atLeast"/>
          <w:jc w:val="center"/>
        </w:trPr>
        <w:tc>
          <w:tcPr>
            <w:tcW w:w="462" w:type="dxa"/>
            <w:vMerge w:val="continue"/>
            <w:vAlign w:val="center"/>
          </w:tcPr>
          <w:p>
            <w:pPr>
              <w:jc w:val="center"/>
              <w:rPr>
                <w:color w:val="323232" w:themeColor="text1"/>
                <w:sz w:val="18"/>
                <w:szCs w:val="18"/>
                <w14:textFill>
                  <w14:solidFill>
                    <w14:schemeClr w14:val="tx1"/>
                  </w14:solidFill>
                </w14:textFill>
              </w:rPr>
            </w:pPr>
          </w:p>
        </w:tc>
        <w:tc>
          <w:tcPr>
            <w:tcW w:w="33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w:t>
            </w:r>
          </w:p>
        </w:tc>
        <w:tc>
          <w:tcPr>
            <w:tcW w:w="134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清除深度</w:t>
            </w:r>
          </w:p>
        </w:tc>
        <w:tc>
          <w:tcPr>
            <w:tcW w:w="132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不小于设计深度</w:t>
            </w:r>
          </w:p>
        </w:tc>
        <w:tc>
          <w:tcPr>
            <w:tcW w:w="1159" w:type="dxa"/>
            <w:vMerge w:val="restart"/>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圆锥动力触探试验、标准贯入试验</w:t>
            </w:r>
          </w:p>
        </w:tc>
        <w:tc>
          <w:tcPr>
            <w:tcW w:w="1301" w:type="dxa"/>
            <w:vMerge w:val="restart"/>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不少于总桩数的1%且不少于3处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16" w:hRule="atLeast"/>
          <w:jc w:val="center"/>
        </w:trPr>
        <w:tc>
          <w:tcPr>
            <w:tcW w:w="462" w:type="dxa"/>
            <w:vMerge w:val="continue"/>
            <w:vAlign w:val="center"/>
          </w:tcPr>
          <w:p>
            <w:pPr>
              <w:jc w:val="center"/>
              <w:rPr>
                <w:color w:val="323232" w:themeColor="text1"/>
                <w:sz w:val="18"/>
                <w:szCs w:val="18"/>
                <w14:textFill>
                  <w14:solidFill>
                    <w14:schemeClr w14:val="tx1"/>
                  </w14:solidFill>
                </w14:textFill>
              </w:rPr>
            </w:pPr>
          </w:p>
        </w:tc>
        <w:tc>
          <w:tcPr>
            <w:tcW w:w="33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3</w:t>
            </w:r>
          </w:p>
        </w:tc>
        <w:tc>
          <w:tcPr>
            <w:tcW w:w="134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回填土密实度</w:t>
            </w:r>
          </w:p>
        </w:tc>
        <w:tc>
          <w:tcPr>
            <w:tcW w:w="1320" w:type="dxa"/>
            <w:vAlign w:val="center"/>
          </w:tcPr>
          <w:p>
            <w:pPr>
              <w:jc w:val="center"/>
              <w:rPr>
                <w:color w:val="323232" w:themeColor="text1"/>
                <w:sz w:val="18"/>
                <w:szCs w:val="18"/>
                <w14:textFill>
                  <w14:solidFill>
                    <w14:schemeClr w14:val="tx1"/>
                  </w14:solidFill>
                </w14:textFill>
              </w:rPr>
            </w:pPr>
            <w:r>
              <w:rPr>
                <w:rFonts w:hint="eastAsia"/>
                <w:sz w:val="18"/>
                <w:szCs w:val="18"/>
              </w:rPr>
              <w:t>中密~密实</w:t>
            </w:r>
          </w:p>
        </w:tc>
        <w:tc>
          <w:tcPr>
            <w:tcW w:w="1159" w:type="dxa"/>
            <w:vMerge w:val="continue"/>
            <w:vAlign w:val="center"/>
          </w:tcPr>
          <w:p>
            <w:pPr>
              <w:jc w:val="center"/>
              <w:rPr>
                <w:color w:val="323232" w:themeColor="text1"/>
                <w:sz w:val="18"/>
                <w:szCs w:val="18"/>
                <w14:textFill>
                  <w14:solidFill>
                    <w14:schemeClr w14:val="tx1"/>
                  </w14:solidFill>
                </w14:textFill>
              </w:rPr>
            </w:pPr>
          </w:p>
        </w:tc>
        <w:tc>
          <w:tcPr>
            <w:tcW w:w="1301" w:type="dxa"/>
            <w:vMerge w:val="continue"/>
            <w:vAlign w:val="center"/>
          </w:tcPr>
          <w:p>
            <w:pPr>
              <w:jc w:val="center"/>
              <w:rPr>
                <w:color w:val="323232" w:themeColor="text1"/>
                <w:sz w:val="18"/>
                <w:szCs w:val="18"/>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16" w:hRule="atLeast"/>
          <w:jc w:val="center"/>
        </w:trPr>
        <w:tc>
          <w:tcPr>
            <w:tcW w:w="462" w:type="dxa"/>
            <w:vMerge w:val="restart"/>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一般项目</w:t>
            </w:r>
          </w:p>
        </w:tc>
        <w:tc>
          <w:tcPr>
            <w:tcW w:w="33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1</w:t>
            </w:r>
          </w:p>
        </w:tc>
        <w:tc>
          <w:tcPr>
            <w:tcW w:w="134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回填土水泥掺量</w:t>
            </w:r>
          </w:p>
        </w:tc>
        <w:tc>
          <w:tcPr>
            <w:tcW w:w="132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不小于设计值</w:t>
            </w:r>
          </w:p>
        </w:tc>
        <w:tc>
          <w:tcPr>
            <w:tcW w:w="115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检查水泥用量</w:t>
            </w:r>
          </w:p>
        </w:tc>
        <w:tc>
          <w:tcPr>
            <w:tcW w:w="1301"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逐根检查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644" w:hRule="atLeast"/>
          <w:jc w:val="center"/>
        </w:trPr>
        <w:tc>
          <w:tcPr>
            <w:tcW w:w="462" w:type="dxa"/>
            <w:vMerge w:val="continue"/>
            <w:vAlign w:val="center"/>
          </w:tcPr>
          <w:p>
            <w:pPr>
              <w:jc w:val="center"/>
              <w:rPr>
                <w:color w:val="323232" w:themeColor="text1"/>
                <w:sz w:val="18"/>
                <w:szCs w:val="18"/>
                <w14:textFill>
                  <w14:solidFill>
                    <w14:schemeClr w14:val="tx1"/>
                  </w14:solidFill>
                </w14:textFill>
              </w:rPr>
            </w:pPr>
          </w:p>
        </w:tc>
        <w:tc>
          <w:tcPr>
            <w:tcW w:w="33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2</w:t>
            </w:r>
          </w:p>
        </w:tc>
        <w:tc>
          <w:tcPr>
            <w:tcW w:w="1345"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回填土最大粒径</w:t>
            </w:r>
          </w:p>
        </w:tc>
        <w:tc>
          <w:tcPr>
            <w:tcW w:w="1320"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不大于200mm</w:t>
            </w:r>
          </w:p>
        </w:tc>
        <w:tc>
          <w:tcPr>
            <w:tcW w:w="1159"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目测+尺量</w:t>
            </w:r>
          </w:p>
        </w:tc>
        <w:tc>
          <w:tcPr>
            <w:tcW w:w="1301" w:type="dxa"/>
            <w:vAlign w:val="center"/>
          </w:tcPr>
          <w:p>
            <w:pPr>
              <w:jc w:val="center"/>
              <w:rPr>
                <w:color w:val="323232" w:themeColor="text1"/>
                <w:sz w:val="18"/>
                <w:szCs w:val="18"/>
                <w14:textFill>
                  <w14:solidFill>
                    <w14:schemeClr w14:val="tx1"/>
                  </w14:solidFill>
                </w14:textFill>
              </w:rPr>
            </w:pPr>
            <w:r>
              <w:rPr>
                <w:rFonts w:hint="eastAsia"/>
                <w:color w:val="323232" w:themeColor="text1"/>
                <w:sz w:val="18"/>
                <w:szCs w:val="18"/>
                <w14:textFill>
                  <w14:solidFill>
                    <w14:schemeClr w14:val="tx1"/>
                  </w14:solidFill>
                </w14:textFill>
              </w:rPr>
              <w:t>现场抽查</w:t>
            </w:r>
          </w:p>
        </w:tc>
      </w:tr>
    </w:tbl>
    <w:p>
      <w:pPr>
        <w:spacing w:line="360" w:lineRule="auto"/>
        <w:ind w:firstLine="420" w:firstLineChars="200"/>
        <w:rPr>
          <w:rFonts w:hint="eastAsia"/>
          <w:color w:val="323232" w:themeColor="text1"/>
          <w:szCs w:val="21"/>
          <w14:textFill>
            <w14:solidFill>
              <w14:schemeClr w14:val="tx1"/>
            </w14:solidFill>
          </w14:textFill>
        </w:rPr>
        <w:sectPr>
          <w:pgSz w:w="7937" w:h="11906"/>
          <w:pgMar w:top="1134" w:right="1134" w:bottom="1134" w:left="1134" w:header="851" w:footer="992" w:gutter="0"/>
          <w:pgNumType w:fmt="decimal"/>
          <w:cols w:space="0" w:num="1"/>
          <w:docGrid w:type="lines" w:linePitch="312" w:charSpace="0"/>
        </w:sectPr>
      </w:pPr>
    </w:p>
    <w:bookmarkEnd w:id="453"/>
    <w:p>
      <w:pPr>
        <w:pStyle w:val="2"/>
        <w:pageBreakBefore/>
        <w:spacing w:beforeLines="0" w:afterLines="0" w:line="576" w:lineRule="auto"/>
        <w:rPr>
          <w:color w:val="323232" w:themeColor="text1"/>
          <w14:textFill>
            <w14:solidFill>
              <w14:schemeClr w14:val="tx1"/>
            </w14:solidFill>
          </w14:textFill>
        </w:rPr>
      </w:pPr>
      <w:bookmarkStart w:id="538" w:name="_Toc8317"/>
      <w:bookmarkStart w:id="539" w:name="_Toc13797"/>
      <w:bookmarkStart w:id="540" w:name="_Toc4579"/>
      <w:bookmarkStart w:id="541" w:name="_Toc13292"/>
      <w:bookmarkStart w:id="542" w:name="_Toc9084"/>
      <w:bookmarkStart w:id="543" w:name="_Toc4019"/>
      <w:bookmarkStart w:id="544" w:name="_Toc5652"/>
      <w:bookmarkStart w:id="545" w:name="_Toc19338"/>
      <w:bookmarkStart w:id="546" w:name="_Toc7744"/>
      <w:bookmarkStart w:id="547" w:name="_Toc3248"/>
      <w:bookmarkStart w:id="548" w:name="_Toc27196"/>
      <w:r>
        <w:rPr>
          <w:rFonts w:hint="eastAsia"/>
          <w:color w:val="323232" w:themeColor="text1"/>
          <w14:textFill>
            <w14:solidFill>
              <w14:schemeClr w14:val="tx1"/>
            </w14:solidFill>
          </w14:textFill>
        </w:rPr>
        <w:t>附录A 桩基清除施工记录表</w:t>
      </w:r>
      <w:bookmarkEnd w:id="538"/>
      <w:bookmarkEnd w:id="539"/>
      <w:bookmarkEnd w:id="540"/>
      <w:bookmarkEnd w:id="541"/>
      <w:bookmarkEnd w:id="542"/>
      <w:bookmarkEnd w:id="543"/>
      <w:bookmarkEnd w:id="544"/>
      <w:bookmarkEnd w:id="545"/>
      <w:bookmarkEnd w:id="546"/>
      <w:bookmarkEnd w:id="547"/>
      <w:bookmarkEnd w:id="548"/>
    </w:p>
    <w:p>
      <w:pPr>
        <w:spacing w:line="360" w:lineRule="auto"/>
        <w:ind w:firstLine="420" w:firstLineChars="200"/>
        <w:jc w:val="center"/>
        <w:rPr>
          <w:rFonts w:hint="eastAsia" w:ascii="Times New Roman" w:hAnsi="Times New Roman" w:eastAsia="黑体" w:cs="Times New Roman"/>
          <w:sz w:val="21"/>
        </w:rPr>
      </w:pPr>
      <w:r>
        <w:rPr>
          <w:rFonts w:hint="default" w:ascii="Times New Roman" w:hAnsi="Times New Roman" w:eastAsia="黑体" w:cs="Times New Roman"/>
          <w:sz w:val="21"/>
        </w:rPr>
        <w:t>表A.0.1 拔除法施工记录表</w:t>
      </w:r>
    </w:p>
    <w:p>
      <w:r>
        <w:rPr>
          <w:rFonts w:hint="eastAsia"/>
          <w:color w:val="323232" w:themeColor="text1"/>
          <w14:textFill>
            <w14:solidFill>
              <w14:schemeClr w14:val="tx1"/>
            </w14:solidFill>
          </w14:textFill>
        </w:rPr>
        <w:t>工程名称：                        施工单位：                               共   页，第   页</w:t>
      </w:r>
    </w:p>
    <w:tbl>
      <w:tblPr>
        <w:tblStyle w:val="16"/>
        <w:tblW w:w="98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2"/>
        <w:gridCol w:w="821"/>
        <w:gridCol w:w="821"/>
        <w:gridCol w:w="1642"/>
        <w:gridCol w:w="821"/>
        <w:gridCol w:w="821"/>
        <w:gridCol w:w="164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r>
              <w:rPr>
                <w:rFonts w:hint="eastAsia"/>
              </w:rPr>
              <w:t>桩号</w:t>
            </w:r>
          </w:p>
        </w:tc>
        <w:tc>
          <w:tcPr>
            <w:tcW w:w="1642" w:type="dxa"/>
            <w:gridSpan w:val="2"/>
            <w:vAlign w:val="center"/>
          </w:tcPr>
          <w:p>
            <w:pPr>
              <w:jc w:val="center"/>
            </w:pPr>
          </w:p>
        </w:tc>
        <w:tc>
          <w:tcPr>
            <w:tcW w:w="1642" w:type="dxa"/>
            <w:vAlign w:val="center"/>
          </w:tcPr>
          <w:p>
            <w:pPr>
              <w:jc w:val="center"/>
            </w:pPr>
            <w:r>
              <w:rPr>
                <w:rFonts w:hint="eastAsia"/>
              </w:rPr>
              <w:t>桩长</w:t>
            </w:r>
          </w:p>
        </w:tc>
        <w:tc>
          <w:tcPr>
            <w:tcW w:w="1642" w:type="dxa"/>
            <w:gridSpan w:val="2"/>
            <w:vAlign w:val="center"/>
          </w:tcPr>
          <w:p>
            <w:pPr>
              <w:jc w:val="center"/>
            </w:pPr>
          </w:p>
        </w:tc>
        <w:tc>
          <w:tcPr>
            <w:tcW w:w="1643" w:type="dxa"/>
            <w:vAlign w:val="center"/>
          </w:tcPr>
          <w:p>
            <w:pPr>
              <w:jc w:val="center"/>
            </w:pPr>
            <w:r>
              <w:rPr>
                <w:rFonts w:hint="eastAsia"/>
              </w:rPr>
              <w:t>桩径</w:t>
            </w: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r>
              <w:rPr>
                <w:rFonts w:hint="eastAsia"/>
              </w:rPr>
              <w:t>桩顶标高</w:t>
            </w:r>
          </w:p>
        </w:tc>
        <w:tc>
          <w:tcPr>
            <w:tcW w:w="1642" w:type="dxa"/>
            <w:gridSpan w:val="2"/>
            <w:vAlign w:val="center"/>
          </w:tcPr>
          <w:p>
            <w:pPr>
              <w:jc w:val="center"/>
            </w:pPr>
          </w:p>
        </w:tc>
        <w:tc>
          <w:tcPr>
            <w:tcW w:w="1642" w:type="dxa"/>
            <w:vAlign w:val="center"/>
          </w:tcPr>
          <w:p>
            <w:pPr>
              <w:jc w:val="center"/>
            </w:pPr>
            <w:r>
              <w:rPr>
                <w:rFonts w:hint="eastAsia"/>
              </w:rPr>
              <w:t>拔桩机型</w:t>
            </w:r>
          </w:p>
        </w:tc>
        <w:tc>
          <w:tcPr>
            <w:tcW w:w="1642" w:type="dxa"/>
            <w:gridSpan w:val="2"/>
            <w:vAlign w:val="center"/>
          </w:tcPr>
          <w:p>
            <w:pPr>
              <w:jc w:val="center"/>
            </w:pPr>
          </w:p>
        </w:tc>
        <w:tc>
          <w:tcPr>
            <w:tcW w:w="1643" w:type="dxa"/>
            <w:vAlign w:val="center"/>
          </w:tcPr>
          <w:p>
            <w:pPr>
              <w:jc w:val="center"/>
            </w:pPr>
            <w:r>
              <w:rPr>
                <w:rFonts w:hint="eastAsia"/>
              </w:rPr>
              <w:t>机号</w:t>
            </w: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Merge w:val="restart"/>
            <w:vAlign w:val="center"/>
          </w:tcPr>
          <w:p>
            <w:pPr>
              <w:jc w:val="center"/>
            </w:pPr>
            <w:r>
              <w:rPr>
                <w:rFonts w:hint="eastAsia"/>
              </w:rPr>
              <w:t>日期</w:t>
            </w:r>
          </w:p>
        </w:tc>
        <w:tc>
          <w:tcPr>
            <w:tcW w:w="821" w:type="dxa"/>
            <w:vMerge w:val="restart"/>
            <w:vAlign w:val="center"/>
          </w:tcPr>
          <w:p>
            <w:pPr>
              <w:jc w:val="center"/>
            </w:pPr>
            <w:r>
              <w:rPr>
                <w:rFonts w:hint="eastAsia"/>
              </w:rPr>
              <w:t>开间</w:t>
            </w:r>
          </w:p>
          <w:p>
            <w:pPr>
              <w:jc w:val="center"/>
            </w:pPr>
            <w:r>
              <w:rPr>
                <w:rFonts w:hint="eastAsia"/>
              </w:rPr>
              <w:t>始时</w:t>
            </w:r>
          </w:p>
        </w:tc>
        <w:tc>
          <w:tcPr>
            <w:tcW w:w="821" w:type="dxa"/>
            <w:vMerge w:val="restart"/>
            <w:vAlign w:val="center"/>
          </w:tcPr>
          <w:p>
            <w:pPr>
              <w:jc w:val="center"/>
            </w:pPr>
            <w:r>
              <w:rPr>
                <w:rFonts w:hint="eastAsia"/>
              </w:rPr>
              <w:t>结束时间</w:t>
            </w:r>
          </w:p>
        </w:tc>
        <w:tc>
          <w:tcPr>
            <w:tcW w:w="1642" w:type="dxa"/>
            <w:vMerge w:val="restart"/>
            <w:vAlign w:val="center"/>
          </w:tcPr>
          <w:p>
            <w:pPr>
              <w:jc w:val="center"/>
            </w:pPr>
            <w:r>
              <w:rPr>
                <w:rFonts w:hint="eastAsia"/>
              </w:rPr>
              <w:t>工作内容</w:t>
            </w:r>
          </w:p>
        </w:tc>
        <w:tc>
          <w:tcPr>
            <w:tcW w:w="1642" w:type="dxa"/>
            <w:gridSpan w:val="2"/>
            <w:vAlign w:val="center"/>
          </w:tcPr>
          <w:p>
            <w:pPr>
              <w:jc w:val="center"/>
            </w:pPr>
            <w:r>
              <w:rPr>
                <w:rFonts w:hint="eastAsia"/>
              </w:rPr>
              <w:t>拔除长度</w:t>
            </w:r>
          </w:p>
        </w:tc>
        <w:tc>
          <w:tcPr>
            <w:tcW w:w="1643" w:type="dxa"/>
            <w:vMerge w:val="restart"/>
            <w:vAlign w:val="center"/>
          </w:tcPr>
          <w:p>
            <w:pPr>
              <w:jc w:val="center"/>
            </w:pPr>
            <w:r>
              <w:rPr>
                <w:rFonts w:hint="eastAsia"/>
              </w:rPr>
              <w:t>减阻措施</w:t>
            </w:r>
          </w:p>
        </w:tc>
        <w:tc>
          <w:tcPr>
            <w:tcW w:w="1643" w:type="dxa"/>
            <w:vMerge w:val="restart"/>
            <w:vAlign w:val="center"/>
          </w:tcPr>
          <w:p>
            <w:pPr>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Merge w:val="continue"/>
            <w:vAlign w:val="center"/>
          </w:tcPr>
          <w:p>
            <w:pPr>
              <w:jc w:val="center"/>
            </w:pPr>
          </w:p>
        </w:tc>
        <w:tc>
          <w:tcPr>
            <w:tcW w:w="821" w:type="dxa"/>
            <w:vMerge w:val="continue"/>
            <w:vAlign w:val="center"/>
          </w:tcPr>
          <w:p>
            <w:pPr>
              <w:jc w:val="center"/>
            </w:pPr>
          </w:p>
        </w:tc>
        <w:tc>
          <w:tcPr>
            <w:tcW w:w="821" w:type="dxa"/>
            <w:vMerge w:val="continue"/>
            <w:vAlign w:val="center"/>
          </w:tcPr>
          <w:p>
            <w:pPr>
              <w:jc w:val="center"/>
            </w:pPr>
          </w:p>
        </w:tc>
        <w:tc>
          <w:tcPr>
            <w:tcW w:w="1642" w:type="dxa"/>
            <w:vMerge w:val="continue"/>
            <w:vAlign w:val="center"/>
          </w:tcPr>
          <w:p>
            <w:pPr>
              <w:jc w:val="center"/>
            </w:pPr>
          </w:p>
        </w:tc>
        <w:tc>
          <w:tcPr>
            <w:tcW w:w="821" w:type="dxa"/>
            <w:vAlign w:val="center"/>
          </w:tcPr>
          <w:p>
            <w:pPr>
              <w:jc w:val="center"/>
            </w:pPr>
            <w:r>
              <w:rPr>
                <w:rFonts w:hint="eastAsia"/>
              </w:rPr>
              <w:t>本次</w:t>
            </w:r>
          </w:p>
        </w:tc>
        <w:tc>
          <w:tcPr>
            <w:tcW w:w="821" w:type="dxa"/>
            <w:vAlign w:val="center"/>
          </w:tcPr>
          <w:p>
            <w:pPr>
              <w:jc w:val="center"/>
            </w:pPr>
            <w:r>
              <w:rPr>
                <w:rFonts w:hint="eastAsia"/>
              </w:rPr>
              <w:t>累计</w:t>
            </w:r>
          </w:p>
        </w:tc>
        <w:tc>
          <w:tcPr>
            <w:tcW w:w="1643" w:type="dxa"/>
            <w:vMerge w:val="continue"/>
            <w:vAlign w:val="center"/>
          </w:tcPr>
          <w:p>
            <w:pPr>
              <w:jc w:val="center"/>
            </w:pPr>
          </w:p>
        </w:tc>
        <w:tc>
          <w:tcPr>
            <w:tcW w:w="164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bl>
    <w:p>
      <w:r>
        <w:rPr>
          <w:rFonts w:hint="eastAsia"/>
        </w:rPr>
        <w:t>记录：                  技术负责人：                   见证人：                  年   月   日</w:t>
      </w:r>
    </w:p>
    <w:p/>
    <w:p>
      <w:pPr>
        <w:spacing w:line="360" w:lineRule="auto"/>
        <w:ind w:firstLine="420" w:firstLineChars="200"/>
        <w:jc w:val="center"/>
        <w:rPr>
          <w:rFonts w:ascii="Times New Roman" w:hAnsi="Times New Roman" w:eastAsia="黑体" w:cs="Times New Roman"/>
        </w:rPr>
      </w:pPr>
      <w:r>
        <w:rPr>
          <w:rFonts w:hint="default" w:ascii="Times New Roman" w:hAnsi="Times New Roman" w:eastAsia="黑体" w:cs="Times New Roman"/>
        </w:rPr>
        <w:t>表</w:t>
      </w:r>
      <w:r>
        <w:rPr>
          <w:rFonts w:ascii="Times New Roman" w:hAnsi="Times New Roman" w:eastAsia="黑体" w:cs="Times New Roman"/>
        </w:rPr>
        <w:t>A.0.2</w:t>
      </w:r>
      <w:r>
        <w:rPr>
          <w:rFonts w:hint="default" w:ascii="Times New Roman" w:hAnsi="Times New Roman" w:eastAsia="黑体" w:cs="Times New Roman"/>
        </w:rPr>
        <w:t xml:space="preserve"> 破碎法施工记录表</w:t>
      </w:r>
    </w:p>
    <w:p>
      <w:r>
        <w:rPr>
          <w:rFonts w:hint="eastAsia"/>
          <w:color w:val="323232" w:themeColor="text1"/>
          <w14:textFill>
            <w14:solidFill>
              <w14:schemeClr w14:val="tx1"/>
            </w14:solidFill>
          </w14:textFill>
        </w:rPr>
        <w:t>工程名称：                        施工单位：                               共   页，第   页</w:t>
      </w:r>
    </w:p>
    <w:tbl>
      <w:tblPr>
        <w:tblStyle w:val="16"/>
        <w:tblW w:w="98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2"/>
        <w:gridCol w:w="821"/>
        <w:gridCol w:w="821"/>
        <w:gridCol w:w="1642"/>
        <w:gridCol w:w="821"/>
        <w:gridCol w:w="821"/>
        <w:gridCol w:w="164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r>
              <w:rPr>
                <w:rFonts w:hint="eastAsia"/>
              </w:rPr>
              <w:t>桩号</w:t>
            </w:r>
          </w:p>
        </w:tc>
        <w:tc>
          <w:tcPr>
            <w:tcW w:w="1642" w:type="dxa"/>
            <w:gridSpan w:val="2"/>
            <w:vAlign w:val="center"/>
          </w:tcPr>
          <w:p>
            <w:pPr>
              <w:jc w:val="center"/>
            </w:pPr>
          </w:p>
        </w:tc>
        <w:tc>
          <w:tcPr>
            <w:tcW w:w="1642" w:type="dxa"/>
            <w:vAlign w:val="center"/>
          </w:tcPr>
          <w:p>
            <w:pPr>
              <w:jc w:val="center"/>
            </w:pPr>
            <w:r>
              <w:rPr>
                <w:rFonts w:hint="eastAsia"/>
              </w:rPr>
              <w:t>桩长</w:t>
            </w:r>
          </w:p>
        </w:tc>
        <w:tc>
          <w:tcPr>
            <w:tcW w:w="1642" w:type="dxa"/>
            <w:gridSpan w:val="2"/>
            <w:vAlign w:val="center"/>
          </w:tcPr>
          <w:p>
            <w:pPr>
              <w:jc w:val="center"/>
            </w:pPr>
          </w:p>
        </w:tc>
        <w:tc>
          <w:tcPr>
            <w:tcW w:w="1643" w:type="dxa"/>
            <w:vAlign w:val="center"/>
          </w:tcPr>
          <w:p>
            <w:pPr>
              <w:jc w:val="center"/>
            </w:pPr>
            <w:r>
              <w:rPr>
                <w:rFonts w:hint="eastAsia"/>
              </w:rPr>
              <w:t>桩径</w:t>
            </w: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r>
              <w:rPr>
                <w:rFonts w:hint="eastAsia"/>
              </w:rPr>
              <w:t>桩顶标高</w:t>
            </w:r>
          </w:p>
        </w:tc>
        <w:tc>
          <w:tcPr>
            <w:tcW w:w="1642" w:type="dxa"/>
            <w:gridSpan w:val="2"/>
            <w:vAlign w:val="center"/>
          </w:tcPr>
          <w:p>
            <w:pPr>
              <w:jc w:val="center"/>
            </w:pPr>
          </w:p>
        </w:tc>
        <w:tc>
          <w:tcPr>
            <w:tcW w:w="1642" w:type="dxa"/>
            <w:vAlign w:val="center"/>
          </w:tcPr>
          <w:p>
            <w:pPr>
              <w:jc w:val="center"/>
            </w:pPr>
            <w:r>
              <w:rPr>
                <w:rFonts w:hint="eastAsia"/>
              </w:rPr>
              <w:t>成孔直径</w:t>
            </w:r>
          </w:p>
        </w:tc>
        <w:tc>
          <w:tcPr>
            <w:tcW w:w="1642" w:type="dxa"/>
            <w:gridSpan w:val="2"/>
            <w:vAlign w:val="center"/>
          </w:tcPr>
          <w:p>
            <w:pPr>
              <w:jc w:val="center"/>
            </w:pPr>
          </w:p>
        </w:tc>
        <w:tc>
          <w:tcPr>
            <w:tcW w:w="1643" w:type="dxa"/>
            <w:vAlign w:val="center"/>
          </w:tcPr>
          <w:p>
            <w:pPr>
              <w:jc w:val="center"/>
            </w:pPr>
            <w:r>
              <w:rPr>
                <w:rFonts w:hint="eastAsia"/>
              </w:rPr>
              <w:t>机号</w:t>
            </w: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Merge w:val="restart"/>
            <w:vAlign w:val="center"/>
          </w:tcPr>
          <w:p>
            <w:pPr>
              <w:jc w:val="center"/>
            </w:pPr>
            <w:r>
              <w:rPr>
                <w:rFonts w:hint="eastAsia"/>
              </w:rPr>
              <w:t>日期</w:t>
            </w:r>
          </w:p>
        </w:tc>
        <w:tc>
          <w:tcPr>
            <w:tcW w:w="821" w:type="dxa"/>
            <w:vMerge w:val="restart"/>
            <w:vAlign w:val="center"/>
          </w:tcPr>
          <w:p>
            <w:pPr>
              <w:jc w:val="center"/>
            </w:pPr>
            <w:r>
              <w:rPr>
                <w:rFonts w:hint="eastAsia"/>
              </w:rPr>
              <w:t>开间</w:t>
            </w:r>
          </w:p>
          <w:p>
            <w:pPr>
              <w:jc w:val="center"/>
            </w:pPr>
            <w:r>
              <w:rPr>
                <w:rFonts w:hint="eastAsia"/>
              </w:rPr>
              <w:t>始时</w:t>
            </w:r>
          </w:p>
        </w:tc>
        <w:tc>
          <w:tcPr>
            <w:tcW w:w="821" w:type="dxa"/>
            <w:vMerge w:val="restart"/>
            <w:vAlign w:val="center"/>
          </w:tcPr>
          <w:p>
            <w:pPr>
              <w:jc w:val="center"/>
            </w:pPr>
            <w:r>
              <w:rPr>
                <w:rFonts w:hint="eastAsia"/>
              </w:rPr>
              <w:t>结束时间</w:t>
            </w:r>
          </w:p>
        </w:tc>
        <w:tc>
          <w:tcPr>
            <w:tcW w:w="1642" w:type="dxa"/>
            <w:vMerge w:val="restart"/>
            <w:vAlign w:val="center"/>
          </w:tcPr>
          <w:p>
            <w:pPr>
              <w:jc w:val="center"/>
            </w:pPr>
            <w:r>
              <w:rPr>
                <w:rFonts w:hint="eastAsia"/>
              </w:rPr>
              <w:t>工作内容</w:t>
            </w:r>
          </w:p>
        </w:tc>
        <w:tc>
          <w:tcPr>
            <w:tcW w:w="1642" w:type="dxa"/>
            <w:gridSpan w:val="2"/>
            <w:vAlign w:val="center"/>
          </w:tcPr>
          <w:p>
            <w:pPr>
              <w:jc w:val="center"/>
            </w:pPr>
            <w:r>
              <w:rPr>
                <w:rFonts w:hint="eastAsia"/>
              </w:rPr>
              <w:t>成孔深度</w:t>
            </w:r>
          </w:p>
        </w:tc>
        <w:tc>
          <w:tcPr>
            <w:tcW w:w="1643" w:type="dxa"/>
            <w:vMerge w:val="restart"/>
            <w:vAlign w:val="center"/>
          </w:tcPr>
          <w:p>
            <w:pPr>
              <w:jc w:val="center"/>
            </w:pPr>
            <w:r>
              <w:rPr>
                <w:rFonts w:hint="eastAsia"/>
              </w:rPr>
              <w:t>护壁形式</w:t>
            </w:r>
          </w:p>
        </w:tc>
        <w:tc>
          <w:tcPr>
            <w:tcW w:w="1643" w:type="dxa"/>
            <w:vMerge w:val="restart"/>
            <w:vAlign w:val="center"/>
          </w:tcPr>
          <w:p>
            <w:pPr>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Merge w:val="continue"/>
            <w:vAlign w:val="center"/>
          </w:tcPr>
          <w:p>
            <w:pPr>
              <w:jc w:val="center"/>
            </w:pPr>
          </w:p>
        </w:tc>
        <w:tc>
          <w:tcPr>
            <w:tcW w:w="821" w:type="dxa"/>
            <w:vMerge w:val="continue"/>
            <w:vAlign w:val="center"/>
          </w:tcPr>
          <w:p>
            <w:pPr>
              <w:jc w:val="center"/>
            </w:pPr>
          </w:p>
        </w:tc>
        <w:tc>
          <w:tcPr>
            <w:tcW w:w="821" w:type="dxa"/>
            <w:vMerge w:val="continue"/>
            <w:vAlign w:val="center"/>
          </w:tcPr>
          <w:p>
            <w:pPr>
              <w:jc w:val="center"/>
            </w:pPr>
          </w:p>
        </w:tc>
        <w:tc>
          <w:tcPr>
            <w:tcW w:w="1642" w:type="dxa"/>
            <w:vMerge w:val="continue"/>
            <w:vAlign w:val="center"/>
          </w:tcPr>
          <w:p>
            <w:pPr>
              <w:jc w:val="center"/>
            </w:pPr>
          </w:p>
        </w:tc>
        <w:tc>
          <w:tcPr>
            <w:tcW w:w="821" w:type="dxa"/>
            <w:vAlign w:val="center"/>
          </w:tcPr>
          <w:p>
            <w:pPr>
              <w:jc w:val="center"/>
            </w:pPr>
            <w:r>
              <w:rPr>
                <w:rFonts w:hint="eastAsia"/>
              </w:rPr>
              <w:t>本次</w:t>
            </w:r>
          </w:p>
        </w:tc>
        <w:tc>
          <w:tcPr>
            <w:tcW w:w="821" w:type="dxa"/>
            <w:vAlign w:val="center"/>
          </w:tcPr>
          <w:p>
            <w:pPr>
              <w:jc w:val="center"/>
            </w:pPr>
            <w:r>
              <w:rPr>
                <w:rFonts w:hint="eastAsia"/>
              </w:rPr>
              <w:t>累计</w:t>
            </w:r>
          </w:p>
        </w:tc>
        <w:tc>
          <w:tcPr>
            <w:tcW w:w="1643" w:type="dxa"/>
            <w:vMerge w:val="continue"/>
            <w:vAlign w:val="center"/>
          </w:tcPr>
          <w:p>
            <w:pPr>
              <w:jc w:val="center"/>
            </w:pPr>
          </w:p>
        </w:tc>
        <w:tc>
          <w:tcPr>
            <w:tcW w:w="164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2" w:type="dxa"/>
            <w:vAlign w:val="center"/>
          </w:tcPr>
          <w:p>
            <w:pPr>
              <w:jc w:val="center"/>
            </w:pPr>
          </w:p>
        </w:tc>
        <w:tc>
          <w:tcPr>
            <w:tcW w:w="821" w:type="dxa"/>
            <w:vAlign w:val="center"/>
          </w:tcPr>
          <w:p>
            <w:pPr>
              <w:jc w:val="center"/>
            </w:pPr>
          </w:p>
        </w:tc>
        <w:tc>
          <w:tcPr>
            <w:tcW w:w="821" w:type="dxa"/>
            <w:vAlign w:val="center"/>
          </w:tcPr>
          <w:p>
            <w:pPr>
              <w:jc w:val="center"/>
            </w:pPr>
          </w:p>
        </w:tc>
        <w:tc>
          <w:tcPr>
            <w:tcW w:w="1643" w:type="dxa"/>
            <w:vAlign w:val="center"/>
          </w:tcPr>
          <w:p>
            <w:pPr>
              <w:jc w:val="center"/>
            </w:pPr>
          </w:p>
        </w:tc>
        <w:tc>
          <w:tcPr>
            <w:tcW w:w="1643" w:type="dxa"/>
            <w:vAlign w:val="center"/>
          </w:tcPr>
          <w:p>
            <w:pPr>
              <w:jc w:val="center"/>
            </w:pPr>
          </w:p>
        </w:tc>
      </w:tr>
    </w:tbl>
    <w:p>
      <w:pPr>
        <w:sectPr>
          <w:type w:val="continuous"/>
          <w:pgSz w:w="11906" w:h="7937" w:orient="landscape"/>
          <w:pgMar w:top="1134" w:right="1134" w:bottom="1134" w:left="1134" w:header="851" w:footer="992" w:gutter="0"/>
          <w:pgNumType w:fmt="decimal"/>
          <w:cols w:space="0" w:num="1"/>
          <w:docGrid w:type="lines" w:linePitch="312" w:charSpace="0"/>
        </w:sectPr>
      </w:pPr>
      <w:r>
        <w:rPr>
          <w:rFonts w:hint="eastAsia"/>
        </w:rPr>
        <w:t xml:space="preserve">记录：                  技术负责人：                   见证人：                  年   月   </w:t>
      </w:r>
      <w:r>
        <w:rPr>
          <w:rFonts w:hint="eastAsia"/>
          <w:lang w:eastAsia="zh-CN"/>
        </w:rPr>
        <w:t>日</w:t>
      </w:r>
    </w:p>
    <w:p>
      <w:pPr>
        <w:pStyle w:val="2"/>
        <w:ind w:firstLine="2530" w:firstLineChars="700"/>
        <w:jc w:val="both"/>
        <w:rPr>
          <w:color w:val="323232" w:themeColor="text1"/>
          <w14:textFill>
            <w14:solidFill>
              <w14:schemeClr w14:val="tx1"/>
            </w14:solidFill>
          </w14:textFill>
        </w:rPr>
      </w:pPr>
    </w:p>
    <w:p>
      <w:pPr>
        <w:spacing w:line="360" w:lineRule="auto"/>
        <w:ind w:firstLine="420" w:firstLineChars="200"/>
        <w:jc w:val="center"/>
        <w:rPr>
          <w:rFonts w:ascii="Times New Roman" w:hAnsi="Times New Roman" w:eastAsia="黑体" w:cs="Times New Roman"/>
        </w:rPr>
      </w:pPr>
      <w:r>
        <w:rPr>
          <w:rFonts w:hint="default" w:ascii="Times New Roman" w:hAnsi="Times New Roman" w:eastAsia="黑体" w:cs="Times New Roman"/>
        </w:rPr>
        <w:t>表</w:t>
      </w:r>
      <w:r>
        <w:rPr>
          <w:rFonts w:ascii="Times New Roman" w:hAnsi="Times New Roman" w:eastAsia="黑体" w:cs="Times New Roman"/>
        </w:rPr>
        <w:t>A.0.3</w:t>
      </w:r>
      <w:r>
        <w:rPr>
          <w:rFonts w:hint="default" w:ascii="Times New Roman" w:hAnsi="Times New Roman" w:eastAsia="黑体" w:cs="Times New Roman"/>
        </w:rPr>
        <w:t xml:space="preserve"> 桩孔回填施工记录表</w:t>
      </w:r>
    </w:p>
    <w:p>
      <w:r>
        <w:rPr>
          <w:rFonts w:hint="eastAsia"/>
          <w:color w:val="323232" w:themeColor="text1"/>
          <w14:textFill>
            <w14:solidFill>
              <w14:schemeClr w14:val="tx1"/>
            </w14:solidFill>
          </w14:textFill>
        </w:rPr>
        <w:t>工程名称：                        施工单位：                               共   页，第   页</w:t>
      </w:r>
    </w:p>
    <w:tbl>
      <w:tblPr>
        <w:tblStyle w:val="16"/>
        <w:tblW w:w="976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5"/>
        <w:gridCol w:w="860"/>
        <w:gridCol w:w="860"/>
        <w:gridCol w:w="1432"/>
        <w:gridCol w:w="1150"/>
        <w:gridCol w:w="860"/>
        <w:gridCol w:w="1103"/>
        <w:gridCol w:w="1052"/>
        <w:gridCol w:w="12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r>
              <w:rPr>
                <w:rFonts w:hint="eastAsia"/>
              </w:rPr>
              <w:t>桩号</w:t>
            </w:r>
          </w:p>
        </w:tc>
        <w:tc>
          <w:tcPr>
            <w:tcW w:w="1720" w:type="dxa"/>
            <w:gridSpan w:val="2"/>
            <w:vAlign w:val="center"/>
          </w:tcPr>
          <w:p>
            <w:pPr>
              <w:jc w:val="center"/>
            </w:pPr>
          </w:p>
        </w:tc>
        <w:tc>
          <w:tcPr>
            <w:tcW w:w="1432" w:type="dxa"/>
            <w:vAlign w:val="center"/>
          </w:tcPr>
          <w:p>
            <w:pPr>
              <w:jc w:val="center"/>
            </w:pPr>
            <w:r>
              <w:rPr>
                <w:rFonts w:hint="eastAsia"/>
              </w:rPr>
              <w:t>孔深</w:t>
            </w:r>
          </w:p>
        </w:tc>
        <w:tc>
          <w:tcPr>
            <w:tcW w:w="2010" w:type="dxa"/>
            <w:gridSpan w:val="2"/>
            <w:vAlign w:val="center"/>
          </w:tcPr>
          <w:p>
            <w:pPr>
              <w:jc w:val="center"/>
            </w:pPr>
          </w:p>
        </w:tc>
        <w:tc>
          <w:tcPr>
            <w:tcW w:w="2155" w:type="dxa"/>
            <w:gridSpan w:val="2"/>
            <w:vAlign w:val="center"/>
          </w:tcPr>
          <w:p>
            <w:pPr>
              <w:jc w:val="center"/>
            </w:pPr>
            <w:r>
              <w:rPr>
                <w:rFonts w:hint="eastAsia"/>
              </w:rPr>
              <w:t>孔径</w:t>
            </w:r>
          </w:p>
        </w:tc>
        <w:tc>
          <w:tcPr>
            <w:tcW w:w="1288"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Merge w:val="restart"/>
            <w:vAlign w:val="center"/>
          </w:tcPr>
          <w:p>
            <w:pPr>
              <w:jc w:val="center"/>
            </w:pPr>
            <w:r>
              <w:rPr>
                <w:rFonts w:hint="eastAsia"/>
              </w:rPr>
              <w:t>分层回</w:t>
            </w:r>
          </w:p>
          <w:p>
            <w:pPr>
              <w:jc w:val="center"/>
            </w:pPr>
            <w:r>
              <w:rPr>
                <w:rFonts w:hint="eastAsia"/>
              </w:rPr>
              <w:t>填次数</w:t>
            </w:r>
          </w:p>
        </w:tc>
        <w:tc>
          <w:tcPr>
            <w:tcW w:w="860" w:type="dxa"/>
            <w:vMerge w:val="restart"/>
            <w:vAlign w:val="center"/>
          </w:tcPr>
          <w:p>
            <w:pPr>
              <w:jc w:val="center"/>
            </w:pPr>
            <w:r>
              <w:rPr>
                <w:rFonts w:hint="eastAsia"/>
              </w:rPr>
              <w:t>开间</w:t>
            </w:r>
          </w:p>
          <w:p>
            <w:pPr>
              <w:jc w:val="center"/>
            </w:pPr>
            <w:r>
              <w:rPr>
                <w:rFonts w:hint="eastAsia"/>
              </w:rPr>
              <w:t>始时</w:t>
            </w:r>
          </w:p>
        </w:tc>
        <w:tc>
          <w:tcPr>
            <w:tcW w:w="860" w:type="dxa"/>
            <w:vMerge w:val="restart"/>
            <w:vAlign w:val="center"/>
          </w:tcPr>
          <w:p>
            <w:pPr>
              <w:jc w:val="center"/>
            </w:pPr>
            <w:r>
              <w:rPr>
                <w:rFonts w:hint="eastAsia"/>
              </w:rPr>
              <w:t>结束</w:t>
            </w:r>
          </w:p>
          <w:p>
            <w:pPr>
              <w:jc w:val="center"/>
            </w:pPr>
            <w:r>
              <w:rPr>
                <w:rFonts w:hint="eastAsia"/>
              </w:rPr>
              <w:t>时间</w:t>
            </w:r>
          </w:p>
        </w:tc>
        <w:tc>
          <w:tcPr>
            <w:tcW w:w="1432" w:type="dxa"/>
            <w:vMerge w:val="restart"/>
            <w:vAlign w:val="center"/>
          </w:tcPr>
          <w:p>
            <w:pPr>
              <w:jc w:val="center"/>
            </w:pPr>
            <w:r>
              <w:rPr>
                <w:rFonts w:hint="eastAsia"/>
              </w:rPr>
              <w:t>工作内容</w:t>
            </w:r>
          </w:p>
        </w:tc>
        <w:tc>
          <w:tcPr>
            <w:tcW w:w="2010" w:type="dxa"/>
            <w:gridSpan w:val="2"/>
            <w:vAlign w:val="center"/>
          </w:tcPr>
          <w:p>
            <w:pPr>
              <w:jc w:val="center"/>
            </w:pPr>
            <w:r>
              <w:rPr>
                <w:rFonts w:hint="eastAsia"/>
              </w:rPr>
              <w:t>回填土方</w:t>
            </w:r>
          </w:p>
        </w:tc>
        <w:tc>
          <w:tcPr>
            <w:tcW w:w="1103" w:type="dxa"/>
            <w:vMerge w:val="restart"/>
            <w:vAlign w:val="center"/>
          </w:tcPr>
          <w:p>
            <w:pPr>
              <w:jc w:val="center"/>
            </w:pPr>
            <w:r>
              <w:rPr>
                <w:rFonts w:hint="eastAsia"/>
              </w:rPr>
              <w:t>回填土</w:t>
            </w:r>
          </w:p>
          <w:p>
            <w:pPr>
              <w:jc w:val="center"/>
            </w:pPr>
            <w:r>
              <w:rPr>
                <w:rFonts w:hint="eastAsia"/>
              </w:rPr>
              <w:t>性状</w:t>
            </w:r>
          </w:p>
        </w:tc>
        <w:tc>
          <w:tcPr>
            <w:tcW w:w="1052" w:type="dxa"/>
            <w:vMerge w:val="restart"/>
            <w:vAlign w:val="center"/>
          </w:tcPr>
          <w:p>
            <w:pPr>
              <w:jc w:val="center"/>
            </w:pPr>
            <w:r>
              <w:rPr>
                <w:rFonts w:hint="eastAsia"/>
              </w:rPr>
              <w:t>水泥</w:t>
            </w:r>
          </w:p>
          <w:p>
            <w:pPr>
              <w:jc w:val="center"/>
            </w:pPr>
            <w:r>
              <w:rPr>
                <w:rFonts w:hint="eastAsia"/>
              </w:rPr>
              <w:t>掺量</w:t>
            </w:r>
          </w:p>
        </w:tc>
        <w:tc>
          <w:tcPr>
            <w:tcW w:w="1288" w:type="dxa"/>
            <w:vMerge w:val="restart"/>
            <w:vAlign w:val="center"/>
          </w:tcPr>
          <w:p>
            <w:pPr>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Merge w:val="continue"/>
            <w:vAlign w:val="center"/>
          </w:tcPr>
          <w:p>
            <w:pPr>
              <w:jc w:val="center"/>
            </w:pPr>
          </w:p>
        </w:tc>
        <w:tc>
          <w:tcPr>
            <w:tcW w:w="860" w:type="dxa"/>
            <w:vMerge w:val="continue"/>
            <w:vAlign w:val="center"/>
          </w:tcPr>
          <w:p>
            <w:pPr>
              <w:jc w:val="center"/>
            </w:pPr>
          </w:p>
        </w:tc>
        <w:tc>
          <w:tcPr>
            <w:tcW w:w="860" w:type="dxa"/>
            <w:vMerge w:val="continue"/>
            <w:vAlign w:val="center"/>
          </w:tcPr>
          <w:p>
            <w:pPr>
              <w:jc w:val="center"/>
            </w:pPr>
          </w:p>
        </w:tc>
        <w:tc>
          <w:tcPr>
            <w:tcW w:w="1432" w:type="dxa"/>
            <w:vMerge w:val="continue"/>
            <w:vAlign w:val="center"/>
          </w:tcPr>
          <w:p>
            <w:pPr>
              <w:jc w:val="center"/>
            </w:pPr>
          </w:p>
        </w:tc>
        <w:tc>
          <w:tcPr>
            <w:tcW w:w="1150" w:type="dxa"/>
            <w:vAlign w:val="center"/>
          </w:tcPr>
          <w:p>
            <w:pPr>
              <w:jc w:val="center"/>
            </w:pPr>
            <w:r>
              <w:rPr>
                <w:rFonts w:hint="eastAsia"/>
              </w:rPr>
              <w:t>本次</w:t>
            </w:r>
          </w:p>
        </w:tc>
        <w:tc>
          <w:tcPr>
            <w:tcW w:w="860" w:type="dxa"/>
            <w:vAlign w:val="center"/>
          </w:tcPr>
          <w:p>
            <w:pPr>
              <w:jc w:val="center"/>
            </w:pPr>
            <w:r>
              <w:rPr>
                <w:rFonts w:hint="eastAsia"/>
              </w:rPr>
              <w:t>累计</w:t>
            </w:r>
          </w:p>
        </w:tc>
        <w:tc>
          <w:tcPr>
            <w:tcW w:w="1103" w:type="dxa"/>
            <w:vMerge w:val="continue"/>
            <w:vAlign w:val="center"/>
          </w:tcPr>
          <w:p>
            <w:pPr>
              <w:jc w:val="center"/>
            </w:pPr>
          </w:p>
        </w:tc>
        <w:tc>
          <w:tcPr>
            <w:tcW w:w="1052" w:type="dxa"/>
            <w:vMerge w:val="continue"/>
            <w:vAlign w:val="center"/>
          </w:tcPr>
          <w:p>
            <w:pPr>
              <w:jc w:val="center"/>
            </w:pPr>
          </w:p>
        </w:tc>
        <w:tc>
          <w:tcPr>
            <w:tcW w:w="1288"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p>
        </w:tc>
        <w:tc>
          <w:tcPr>
            <w:tcW w:w="860" w:type="dxa"/>
            <w:vAlign w:val="center"/>
          </w:tcPr>
          <w:p>
            <w:pPr>
              <w:jc w:val="center"/>
            </w:pPr>
          </w:p>
        </w:tc>
        <w:tc>
          <w:tcPr>
            <w:tcW w:w="860" w:type="dxa"/>
            <w:vAlign w:val="center"/>
          </w:tcPr>
          <w:p>
            <w:pPr>
              <w:jc w:val="center"/>
            </w:pPr>
          </w:p>
        </w:tc>
        <w:tc>
          <w:tcPr>
            <w:tcW w:w="1432" w:type="dxa"/>
            <w:vAlign w:val="center"/>
          </w:tcPr>
          <w:p>
            <w:pPr>
              <w:jc w:val="center"/>
            </w:pPr>
          </w:p>
        </w:tc>
        <w:tc>
          <w:tcPr>
            <w:tcW w:w="1150" w:type="dxa"/>
            <w:vAlign w:val="center"/>
          </w:tcPr>
          <w:p>
            <w:pPr>
              <w:jc w:val="center"/>
            </w:pPr>
          </w:p>
        </w:tc>
        <w:tc>
          <w:tcPr>
            <w:tcW w:w="860" w:type="dxa"/>
            <w:vAlign w:val="center"/>
          </w:tcPr>
          <w:p>
            <w:pPr>
              <w:jc w:val="center"/>
            </w:pPr>
          </w:p>
        </w:tc>
        <w:tc>
          <w:tcPr>
            <w:tcW w:w="1103" w:type="dxa"/>
            <w:vAlign w:val="center"/>
          </w:tcPr>
          <w:p>
            <w:pPr>
              <w:jc w:val="center"/>
            </w:pPr>
          </w:p>
        </w:tc>
        <w:tc>
          <w:tcPr>
            <w:tcW w:w="1052" w:type="dxa"/>
            <w:vAlign w:val="center"/>
          </w:tcPr>
          <w:p>
            <w:pPr>
              <w:jc w:val="center"/>
            </w:pPr>
          </w:p>
        </w:tc>
        <w:tc>
          <w:tcPr>
            <w:tcW w:w="1288"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p>
        </w:tc>
        <w:tc>
          <w:tcPr>
            <w:tcW w:w="860" w:type="dxa"/>
            <w:vAlign w:val="center"/>
          </w:tcPr>
          <w:p>
            <w:pPr>
              <w:jc w:val="center"/>
            </w:pPr>
          </w:p>
        </w:tc>
        <w:tc>
          <w:tcPr>
            <w:tcW w:w="860" w:type="dxa"/>
            <w:vAlign w:val="center"/>
          </w:tcPr>
          <w:p>
            <w:pPr>
              <w:jc w:val="center"/>
            </w:pPr>
          </w:p>
        </w:tc>
        <w:tc>
          <w:tcPr>
            <w:tcW w:w="1432" w:type="dxa"/>
            <w:vAlign w:val="center"/>
          </w:tcPr>
          <w:p>
            <w:pPr>
              <w:jc w:val="center"/>
            </w:pPr>
          </w:p>
        </w:tc>
        <w:tc>
          <w:tcPr>
            <w:tcW w:w="1150" w:type="dxa"/>
            <w:vAlign w:val="center"/>
          </w:tcPr>
          <w:p>
            <w:pPr>
              <w:jc w:val="center"/>
            </w:pPr>
          </w:p>
        </w:tc>
        <w:tc>
          <w:tcPr>
            <w:tcW w:w="860" w:type="dxa"/>
            <w:vAlign w:val="center"/>
          </w:tcPr>
          <w:p>
            <w:pPr>
              <w:jc w:val="center"/>
            </w:pPr>
          </w:p>
        </w:tc>
        <w:tc>
          <w:tcPr>
            <w:tcW w:w="1103" w:type="dxa"/>
            <w:vAlign w:val="center"/>
          </w:tcPr>
          <w:p>
            <w:pPr>
              <w:jc w:val="center"/>
            </w:pPr>
          </w:p>
        </w:tc>
        <w:tc>
          <w:tcPr>
            <w:tcW w:w="1052" w:type="dxa"/>
            <w:vAlign w:val="center"/>
          </w:tcPr>
          <w:p>
            <w:pPr>
              <w:jc w:val="center"/>
            </w:pPr>
          </w:p>
        </w:tc>
        <w:tc>
          <w:tcPr>
            <w:tcW w:w="1288"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p>
        </w:tc>
        <w:tc>
          <w:tcPr>
            <w:tcW w:w="860" w:type="dxa"/>
            <w:vAlign w:val="center"/>
          </w:tcPr>
          <w:p>
            <w:pPr>
              <w:jc w:val="center"/>
            </w:pPr>
          </w:p>
        </w:tc>
        <w:tc>
          <w:tcPr>
            <w:tcW w:w="860" w:type="dxa"/>
            <w:vAlign w:val="center"/>
          </w:tcPr>
          <w:p>
            <w:pPr>
              <w:jc w:val="center"/>
            </w:pPr>
          </w:p>
        </w:tc>
        <w:tc>
          <w:tcPr>
            <w:tcW w:w="1432" w:type="dxa"/>
            <w:vAlign w:val="center"/>
          </w:tcPr>
          <w:p>
            <w:pPr>
              <w:jc w:val="center"/>
            </w:pPr>
          </w:p>
        </w:tc>
        <w:tc>
          <w:tcPr>
            <w:tcW w:w="1150" w:type="dxa"/>
            <w:vAlign w:val="center"/>
          </w:tcPr>
          <w:p>
            <w:pPr>
              <w:jc w:val="center"/>
            </w:pPr>
          </w:p>
        </w:tc>
        <w:tc>
          <w:tcPr>
            <w:tcW w:w="860" w:type="dxa"/>
            <w:vAlign w:val="center"/>
          </w:tcPr>
          <w:p>
            <w:pPr>
              <w:jc w:val="center"/>
            </w:pPr>
          </w:p>
        </w:tc>
        <w:tc>
          <w:tcPr>
            <w:tcW w:w="1103" w:type="dxa"/>
            <w:vAlign w:val="center"/>
          </w:tcPr>
          <w:p>
            <w:pPr>
              <w:jc w:val="center"/>
            </w:pPr>
          </w:p>
        </w:tc>
        <w:tc>
          <w:tcPr>
            <w:tcW w:w="1052" w:type="dxa"/>
            <w:vAlign w:val="center"/>
          </w:tcPr>
          <w:p>
            <w:pPr>
              <w:jc w:val="center"/>
            </w:pPr>
          </w:p>
        </w:tc>
        <w:tc>
          <w:tcPr>
            <w:tcW w:w="1288"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p>
        </w:tc>
        <w:tc>
          <w:tcPr>
            <w:tcW w:w="860" w:type="dxa"/>
            <w:vAlign w:val="center"/>
          </w:tcPr>
          <w:p>
            <w:pPr>
              <w:jc w:val="center"/>
            </w:pPr>
          </w:p>
        </w:tc>
        <w:tc>
          <w:tcPr>
            <w:tcW w:w="860" w:type="dxa"/>
            <w:vAlign w:val="center"/>
          </w:tcPr>
          <w:p>
            <w:pPr>
              <w:jc w:val="center"/>
            </w:pPr>
          </w:p>
        </w:tc>
        <w:tc>
          <w:tcPr>
            <w:tcW w:w="1432" w:type="dxa"/>
            <w:vAlign w:val="center"/>
          </w:tcPr>
          <w:p>
            <w:pPr>
              <w:jc w:val="center"/>
            </w:pPr>
          </w:p>
        </w:tc>
        <w:tc>
          <w:tcPr>
            <w:tcW w:w="1150" w:type="dxa"/>
            <w:vAlign w:val="center"/>
          </w:tcPr>
          <w:p>
            <w:pPr>
              <w:jc w:val="center"/>
            </w:pPr>
          </w:p>
        </w:tc>
        <w:tc>
          <w:tcPr>
            <w:tcW w:w="860" w:type="dxa"/>
            <w:vAlign w:val="center"/>
          </w:tcPr>
          <w:p>
            <w:pPr>
              <w:jc w:val="center"/>
            </w:pPr>
          </w:p>
        </w:tc>
        <w:tc>
          <w:tcPr>
            <w:tcW w:w="1103" w:type="dxa"/>
            <w:vAlign w:val="center"/>
          </w:tcPr>
          <w:p>
            <w:pPr>
              <w:jc w:val="center"/>
            </w:pPr>
          </w:p>
        </w:tc>
        <w:tc>
          <w:tcPr>
            <w:tcW w:w="1052" w:type="dxa"/>
            <w:vAlign w:val="center"/>
          </w:tcPr>
          <w:p>
            <w:pPr>
              <w:jc w:val="center"/>
            </w:pPr>
          </w:p>
        </w:tc>
        <w:tc>
          <w:tcPr>
            <w:tcW w:w="1288"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p>
        </w:tc>
        <w:tc>
          <w:tcPr>
            <w:tcW w:w="860" w:type="dxa"/>
            <w:vAlign w:val="center"/>
          </w:tcPr>
          <w:p>
            <w:pPr>
              <w:jc w:val="center"/>
            </w:pPr>
          </w:p>
        </w:tc>
        <w:tc>
          <w:tcPr>
            <w:tcW w:w="860" w:type="dxa"/>
            <w:vAlign w:val="center"/>
          </w:tcPr>
          <w:p>
            <w:pPr>
              <w:jc w:val="center"/>
            </w:pPr>
          </w:p>
        </w:tc>
        <w:tc>
          <w:tcPr>
            <w:tcW w:w="1432" w:type="dxa"/>
            <w:vAlign w:val="center"/>
          </w:tcPr>
          <w:p>
            <w:pPr>
              <w:jc w:val="center"/>
            </w:pPr>
          </w:p>
        </w:tc>
        <w:tc>
          <w:tcPr>
            <w:tcW w:w="1150" w:type="dxa"/>
            <w:vAlign w:val="center"/>
          </w:tcPr>
          <w:p>
            <w:pPr>
              <w:jc w:val="center"/>
            </w:pPr>
          </w:p>
        </w:tc>
        <w:tc>
          <w:tcPr>
            <w:tcW w:w="860" w:type="dxa"/>
            <w:vAlign w:val="center"/>
          </w:tcPr>
          <w:p>
            <w:pPr>
              <w:jc w:val="center"/>
            </w:pPr>
          </w:p>
        </w:tc>
        <w:tc>
          <w:tcPr>
            <w:tcW w:w="1103" w:type="dxa"/>
            <w:vAlign w:val="center"/>
          </w:tcPr>
          <w:p>
            <w:pPr>
              <w:jc w:val="center"/>
            </w:pPr>
          </w:p>
        </w:tc>
        <w:tc>
          <w:tcPr>
            <w:tcW w:w="1052" w:type="dxa"/>
            <w:vAlign w:val="center"/>
          </w:tcPr>
          <w:p>
            <w:pPr>
              <w:jc w:val="center"/>
            </w:pPr>
          </w:p>
        </w:tc>
        <w:tc>
          <w:tcPr>
            <w:tcW w:w="1288"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55" w:type="dxa"/>
            <w:vAlign w:val="center"/>
          </w:tcPr>
          <w:p>
            <w:pPr>
              <w:jc w:val="center"/>
            </w:pPr>
          </w:p>
        </w:tc>
        <w:tc>
          <w:tcPr>
            <w:tcW w:w="860" w:type="dxa"/>
            <w:vAlign w:val="center"/>
          </w:tcPr>
          <w:p>
            <w:pPr>
              <w:jc w:val="center"/>
            </w:pPr>
          </w:p>
        </w:tc>
        <w:tc>
          <w:tcPr>
            <w:tcW w:w="860" w:type="dxa"/>
            <w:vAlign w:val="center"/>
          </w:tcPr>
          <w:p>
            <w:pPr>
              <w:jc w:val="center"/>
            </w:pPr>
          </w:p>
        </w:tc>
        <w:tc>
          <w:tcPr>
            <w:tcW w:w="1432" w:type="dxa"/>
            <w:vAlign w:val="center"/>
          </w:tcPr>
          <w:p>
            <w:pPr>
              <w:jc w:val="center"/>
            </w:pPr>
          </w:p>
        </w:tc>
        <w:tc>
          <w:tcPr>
            <w:tcW w:w="1150" w:type="dxa"/>
            <w:vAlign w:val="center"/>
          </w:tcPr>
          <w:p>
            <w:pPr>
              <w:jc w:val="center"/>
            </w:pPr>
          </w:p>
        </w:tc>
        <w:tc>
          <w:tcPr>
            <w:tcW w:w="860" w:type="dxa"/>
            <w:vAlign w:val="center"/>
          </w:tcPr>
          <w:p>
            <w:pPr>
              <w:jc w:val="center"/>
            </w:pPr>
          </w:p>
        </w:tc>
        <w:tc>
          <w:tcPr>
            <w:tcW w:w="1103" w:type="dxa"/>
            <w:vAlign w:val="center"/>
          </w:tcPr>
          <w:p>
            <w:pPr>
              <w:jc w:val="center"/>
            </w:pPr>
          </w:p>
        </w:tc>
        <w:tc>
          <w:tcPr>
            <w:tcW w:w="1052" w:type="dxa"/>
            <w:vAlign w:val="center"/>
          </w:tcPr>
          <w:p>
            <w:pPr>
              <w:jc w:val="center"/>
            </w:pPr>
          </w:p>
        </w:tc>
        <w:tc>
          <w:tcPr>
            <w:tcW w:w="1288" w:type="dxa"/>
            <w:vAlign w:val="center"/>
          </w:tcPr>
          <w:p>
            <w:pPr>
              <w:jc w:val="center"/>
            </w:pPr>
          </w:p>
        </w:tc>
      </w:tr>
    </w:tbl>
    <w:p>
      <w:pPr>
        <w:sectPr>
          <w:type w:val="continuous"/>
          <w:pgSz w:w="11906" w:h="7937" w:orient="landscape"/>
          <w:pgMar w:top="1134" w:right="1134" w:bottom="1134" w:left="1134" w:header="851" w:footer="992" w:gutter="0"/>
          <w:pgNumType w:fmt="decimal"/>
          <w:cols w:space="0" w:num="1"/>
          <w:docGrid w:type="lines" w:linePitch="312" w:charSpace="0"/>
        </w:sectPr>
      </w:pPr>
      <w:r>
        <w:rPr>
          <w:rFonts w:hint="eastAsia"/>
        </w:rPr>
        <w:t>记录：                  技术负责人：                   见证人：                  年   月   日</w:t>
      </w:r>
    </w:p>
    <w:p>
      <w:pPr>
        <w:sectPr>
          <w:type w:val="continuous"/>
          <w:pgSz w:w="11906" w:h="7937" w:orient="landscape"/>
          <w:pgMar w:top="1134" w:right="1134" w:bottom="1134" w:left="1134" w:header="851" w:footer="992" w:gutter="0"/>
          <w:pgNumType w:fmt="decimal"/>
          <w:cols w:space="0" w:num="1"/>
          <w:docGrid w:type="lines" w:linePitch="312" w:charSpace="0"/>
        </w:sectPr>
      </w:pPr>
    </w:p>
    <w:p>
      <w:pPr>
        <w:pStyle w:val="2"/>
        <w:rPr>
          <w:rFonts w:eastAsia="黑体"/>
          <w:color w:val="323232" w:themeColor="text1"/>
          <w14:textFill>
            <w14:solidFill>
              <w14:schemeClr w14:val="tx1"/>
            </w14:solidFill>
          </w14:textFill>
        </w:rPr>
      </w:pPr>
      <w:bookmarkStart w:id="549" w:name="_Toc11473"/>
      <w:bookmarkStart w:id="550" w:name="_Toc18107"/>
      <w:bookmarkStart w:id="551" w:name="_Toc28787"/>
      <w:bookmarkStart w:id="552" w:name="_Toc32094"/>
      <w:bookmarkStart w:id="553" w:name="_Toc4584"/>
      <w:bookmarkStart w:id="554" w:name="_Toc31726"/>
      <w:bookmarkStart w:id="555" w:name="_Toc17094"/>
      <w:bookmarkStart w:id="556" w:name="_Toc25376"/>
      <w:bookmarkStart w:id="557" w:name="_Toc24589"/>
      <w:bookmarkStart w:id="558" w:name="_Toc25806"/>
      <w:bookmarkStart w:id="559" w:name="_Toc21757"/>
      <w:r>
        <w:rPr>
          <w:rFonts w:hint="eastAsia"/>
          <w:color w:val="323232" w:themeColor="text1"/>
          <w14:textFill>
            <w14:solidFill>
              <w14:schemeClr w14:val="tx1"/>
            </w14:solidFill>
          </w14:textFill>
        </w:rPr>
        <w:t>本标准用词说明</w:t>
      </w:r>
      <w:bookmarkEnd w:id="549"/>
      <w:bookmarkEnd w:id="550"/>
      <w:bookmarkEnd w:id="551"/>
      <w:bookmarkEnd w:id="552"/>
      <w:bookmarkEnd w:id="553"/>
      <w:bookmarkEnd w:id="554"/>
      <w:bookmarkEnd w:id="555"/>
      <w:bookmarkEnd w:id="556"/>
      <w:bookmarkEnd w:id="557"/>
      <w:bookmarkEnd w:id="558"/>
      <w:bookmarkEnd w:id="559"/>
    </w:p>
    <w:p>
      <w:pPr>
        <w:adjustRightInd w:val="0"/>
        <w:snapToGrid w:val="0"/>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1</w:t>
      </w:r>
      <w:r>
        <w:rPr>
          <w:color w:val="323232" w:themeColor="text1"/>
          <w:szCs w:val="21"/>
          <w14:textFill>
            <w14:solidFill>
              <w14:schemeClr w14:val="tx1"/>
            </w14:solidFill>
          </w14:textFill>
        </w:rPr>
        <w:t xml:space="preserve">  为便于在执行本规范条文时区别对待，对要求严格程度不同的用词说明如下：</w:t>
      </w:r>
    </w:p>
    <w:p>
      <w:pPr>
        <w:adjustRightInd w:val="0"/>
        <w:snapToGrid w:val="0"/>
        <w:spacing w:line="360" w:lineRule="auto"/>
        <w:ind w:firstLine="315" w:firstLineChars="150"/>
        <w:rPr>
          <w:color w:val="323232" w:themeColor="text1"/>
          <w:szCs w:val="21"/>
          <w14:textFill>
            <w14:solidFill>
              <w14:schemeClr w14:val="tx1"/>
            </w14:solidFill>
          </w14:textFill>
        </w:rPr>
      </w:pPr>
      <w:r>
        <w:rPr>
          <w:color w:val="323232" w:themeColor="text1"/>
          <w:szCs w:val="21"/>
          <w14:textFill>
            <w14:solidFill>
              <w14:schemeClr w14:val="tx1"/>
            </w14:solidFill>
          </w14:textFill>
        </w:rPr>
        <w:t>1）表示很严格，非这样做不可的：</w:t>
      </w:r>
    </w:p>
    <w:p>
      <w:pPr>
        <w:adjustRightInd w:val="0"/>
        <w:snapToGrid w:val="0"/>
        <w:spacing w:line="360" w:lineRule="auto"/>
        <w:ind w:left="240"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正面词采用</w:t>
      </w:r>
      <w:r>
        <w:rPr>
          <w:rFonts w:hint="eastAsia" w:ascii="宋体" w:hAnsi="宋体" w:cs="宋体"/>
          <w:color w:val="323232" w:themeColor="text1"/>
          <w:szCs w:val="21"/>
          <w14:textFill>
            <w14:solidFill>
              <w14:schemeClr w14:val="tx1"/>
            </w14:solidFill>
          </w14:textFill>
        </w:rPr>
        <w:t>“必须”</w:t>
      </w:r>
      <w:r>
        <w:rPr>
          <w:color w:val="323232" w:themeColor="text1"/>
          <w:szCs w:val="21"/>
          <w14:textFill>
            <w14:solidFill>
              <w14:schemeClr w14:val="tx1"/>
            </w14:solidFill>
          </w14:textFill>
        </w:rPr>
        <w:t>，反面词采</w:t>
      </w:r>
      <w:r>
        <w:rPr>
          <w:rFonts w:hint="eastAsia" w:ascii="宋体" w:hAnsi="宋体" w:cs="宋体"/>
          <w:color w:val="323232" w:themeColor="text1"/>
          <w:szCs w:val="21"/>
          <w14:textFill>
            <w14:solidFill>
              <w14:schemeClr w14:val="tx1"/>
            </w14:solidFill>
          </w14:textFill>
        </w:rPr>
        <w:t>用“严禁”</w:t>
      </w:r>
      <w:r>
        <w:rPr>
          <w:color w:val="323232" w:themeColor="text1"/>
          <w:szCs w:val="21"/>
          <w14:textFill>
            <w14:solidFill>
              <w14:schemeClr w14:val="tx1"/>
            </w14:solidFill>
          </w14:textFill>
        </w:rPr>
        <w:t>；</w:t>
      </w:r>
    </w:p>
    <w:p>
      <w:pPr>
        <w:adjustRightInd w:val="0"/>
        <w:snapToGrid w:val="0"/>
        <w:spacing w:line="360" w:lineRule="auto"/>
        <w:ind w:left="239" w:leftChars="114" w:firstLine="105" w:firstLineChars="50"/>
        <w:rPr>
          <w:color w:val="323232" w:themeColor="text1"/>
          <w:szCs w:val="21"/>
          <w14:textFill>
            <w14:solidFill>
              <w14:schemeClr w14:val="tx1"/>
            </w14:solidFill>
          </w14:textFill>
        </w:rPr>
      </w:pPr>
      <w:r>
        <w:rPr>
          <w:color w:val="323232" w:themeColor="text1"/>
          <w:szCs w:val="21"/>
          <w14:textFill>
            <w14:solidFill>
              <w14:schemeClr w14:val="tx1"/>
            </w14:solidFill>
          </w14:textFill>
        </w:rPr>
        <w:t>2）表示严格，在正常情况下均应这样做的：</w:t>
      </w:r>
    </w:p>
    <w:p>
      <w:pPr>
        <w:adjustRightInd w:val="0"/>
        <w:snapToGrid w:val="0"/>
        <w:spacing w:line="360" w:lineRule="auto"/>
        <w:ind w:left="240"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正面词采</w:t>
      </w:r>
      <w:r>
        <w:rPr>
          <w:rFonts w:hint="eastAsia" w:ascii="宋体" w:hAnsi="宋体" w:cs="宋体"/>
          <w:color w:val="323232" w:themeColor="text1"/>
          <w:szCs w:val="21"/>
          <w14:textFill>
            <w14:solidFill>
              <w14:schemeClr w14:val="tx1"/>
            </w14:solidFill>
          </w14:textFill>
        </w:rPr>
        <w:t>用“应”</w:t>
      </w:r>
      <w:r>
        <w:rPr>
          <w:color w:val="323232" w:themeColor="text1"/>
          <w:szCs w:val="21"/>
          <w14:textFill>
            <w14:solidFill>
              <w14:schemeClr w14:val="tx1"/>
            </w14:solidFill>
          </w14:textFill>
        </w:rPr>
        <w:t>，反面词</w:t>
      </w:r>
      <w:r>
        <w:rPr>
          <w:rFonts w:hint="eastAsia" w:ascii="宋体" w:hAnsi="宋体" w:cs="宋体"/>
          <w:color w:val="323232" w:themeColor="text1"/>
          <w:szCs w:val="21"/>
          <w14:textFill>
            <w14:solidFill>
              <w14:schemeClr w14:val="tx1"/>
            </w14:solidFill>
          </w14:textFill>
        </w:rPr>
        <w:t>用“不应”或“不得”</w:t>
      </w:r>
      <w:r>
        <w:rPr>
          <w:color w:val="323232" w:themeColor="text1"/>
          <w:szCs w:val="21"/>
          <w14:textFill>
            <w14:solidFill>
              <w14:schemeClr w14:val="tx1"/>
            </w14:solidFill>
          </w14:textFill>
        </w:rPr>
        <w:t>；</w:t>
      </w:r>
    </w:p>
    <w:p>
      <w:pPr>
        <w:adjustRightInd w:val="0"/>
        <w:snapToGrid w:val="0"/>
        <w:spacing w:line="360" w:lineRule="auto"/>
        <w:ind w:left="239" w:leftChars="114" w:firstLine="105" w:firstLineChars="50"/>
        <w:rPr>
          <w:color w:val="323232" w:themeColor="text1"/>
          <w:szCs w:val="21"/>
          <w14:textFill>
            <w14:solidFill>
              <w14:schemeClr w14:val="tx1"/>
            </w14:solidFill>
          </w14:textFill>
        </w:rPr>
      </w:pPr>
      <w:r>
        <w:rPr>
          <w:color w:val="323232" w:themeColor="text1"/>
          <w:szCs w:val="21"/>
          <w14:textFill>
            <w14:solidFill>
              <w14:schemeClr w14:val="tx1"/>
            </w14:solidFill>
          </w14:textFill>
        </w:rPr>
        <w:t>3）表示允许稍有选择，在条件许可时首先应这样做的：</w:t>
      </w:r>
    </w:p>
    <w:p>
      <w:pPr>
        <w:adjustRightInd w:val="0"/>
        <w:snapToGrid w:val="0"/>
        <w:spacing w:line="360" w:lineRule="auto"/>
        <w:ind w:left="239" w:leftChars="114" w:firstLine="420" w:firstLineChars="200"/>
        <w:rPr>
          <w:color w:val="323232" w:themeColor="text1"/>
          <w:szCs w:val="21"/>
          <w14:textFill>
            <w14:solidFill>
              <w14:schemeClr w14:val="tx1"/>
            </w14:solidFill>
          </w14:textFill>
        </w:rPr>
      </w:pPr>
      <w:r>
        <w:rPr>
          <w:color w:val="323232" w:themeColor="text1"/>
          <w:szCs w:val="21"/>
          <w14:textFill>
            <w14:solidFill>
              <w14:schemeClr w14:val="tx1"/>
            </w14:solidFill>
          </w14:textFill>
        </w:rPr>
        <w:t>正面词采</w:t>
      </w:r>
      <w:r>
        <w:rPr>
          <w:rFonts w:hint="eastAsia" w:ascii="宋体" w:hAnsi="宋体" w:cs="宋体"/>
          <w:color w:val="323232" w:themeColor="text1"/>
          <w:szCs w:val="21"/>
          <w14:textFill>
            <w14:solidFill>
              <w14:schemeClr w14:val="tx1"/>
            </w14:solidFill>
          </w14:textFill>
        </w:rPr>
        <w:t>用“宜”，反面词采用“不宜”</w:t>
      </w:r>
      <w:r>
        <w:rPr>
          <w:color w:val="323232" w:themeColor="text1"/>
          <w:szCs w:val="21"/>
          <w14:textFill>
            <w14:solidFill>
              <w14:schemeClr w14:val="tx1"/>
            </w14:solidFill>
          </w14:textFill>
        </w:rPr>
        <w:t>；</w:t>
      </w:r>
    </w:p>
    <w:p>
      <w:pPr>
        <w:adjustRightInd w:val="0"/>
        <w:snapToGrid w:val="0"/>
        <w:spacing w:line="360" w:lineRule="auto"/>
        <w:ind w:left="239" w:leftChars="114" w:firstLine="105" w:firstLineChars="50"/>
        <w:rPr>
          <w:color w:val="323232" w:themeColor="text1"/>
          <w:szCs w:val="21"/>
          <w14:textFill>
            <w14:solidFill>
              <w14:schemeClr w14:val="tx1"/>
            </w14:solidFill>
          </w14:textFill>
        </w:rPr>
      </w:pPr>
      <w:r>
        <w:rPr>
          <w:color w:val="323232" w:themeColor="text1"/>
          <w:szCs w:val="21"/>
          <w14:textFill>
            <w14:solidFill>
              <w14:schemeClr w14:val="tx1"/>
            </w14:solidFill>
          </w14:textFill>
        </w:rPr>
        <w:t>4）表示有选择，在一定条件下可以这样做的，采</w:t>
      </w:r>
      <w:r>
        <w:rPr>
          <w:rFonts w:hint="eastAsia" w:ascii="宋体" w:hAnsi="宋体" w:cs="宋体"/>
          <w:color w:val="323232" w:themeColor="text1"/>
          <w:szCs w:val="21"/>
          <w14:textFill>
            <w14:solidFill>
              <w14:schemeClr w14:val="tx1"/>
            </w14:solidFill>
          </w14:textFill>
        </w:rPr>
        <w:t>用“可”</w:t>
      </w:r>
      <w:r>
        <w:rPr>
          <w:color w:val="323232" w:themeColor="text1"/>
          <w:szCs w:val="21"/>
          <w14:textFill>
            <w14:solidFill>
              <w14:schemeClr w14:val="tx1"/>
            </w14:solidFill>
          </w14:textFill>
        </w:rPr>
        <w:t>。</w:t>
      </w:r>
    </w:p>
    <w:p>
      <w:pPr>
        <w:adjustRightInd w:val="0"/>
        <w:snapToGrid w:val="0"/>
        <w:spacing w:line="360" w:lineRule="auto"/>
        <w:ind w:left="316" w:hanging="316" w:hangingChars="150"/>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2</w:t>
      </w:r>
      <w:r>
        <w:rPr>
          <w:color w:val="323232" w:themeColor="text1"/>
          <w:szCs w:val="21"/>
          <w14:textFill>
            <w14:solidFill>
              <w14:schemeClr w14:val="tx1"/>
            </w14:solidFill>
          </w14:textFill>
        </w:rPr>
        <w:t xml:space="preserve">  条文中指明应按其他有关标准执行的写法为：</w:t>
      </w:r>
      <w:r>
        <w:rPr>
          <w:rFonts w:hint="eastAsia" w:ascii="宋体" w:hAnsi="宋体" w:cs="宋体"/>
          <w:color w:val="323232" w:themeColor="text1"/>
          <w:szCs w:val="21"/>
          <w14:textFill>
            <w14:solidFill>
              <w14:schemeClr w14:val="tx1"/>
            </w14:solidFill>
          </w14:textFill>
        </w:rPr>
        <w:t>“应符合……的规定”或“应按……执行</w:t>
      </w:r>
      <w:r>
        <w:rPr>
          <w:color w:val="323232" w:themeColor="text1"/>
          <w:szCs w:val="21"/>
          <w14:textFill>
            <w14:solidFill>
              <w14:schemeClr w14:val="tx1"/>
            </w14:solidFill>
          </w14:textFill>
        </w:rPr>
        <w:t>。</w:t>
      </w:r>
    </w:p>
    <w:p>
      <w:pPr>
        <w:spacing w:line="360" w:lineRule="auto"/>
        <w:rPr>
          <w:rFonts w:ascii="宋体" w:hAnsi="宋体" w:cs="宋体"/>
          <w:color w:val="323232" w:themeColor="text1"/>
          <w:sz w:val="24"/>
          <w14:textFill>
            <w14:solidFill>
              <w14:schemeClr w14:val="tx1"/>
            </w14:solidFill>
          </w14:textFill>
        </w:rPr>
      </w:pPr>
    </w:p>
    <w:p>
      <w:pPr>
        <w:spacing w:line="360" w:lineRule="auto"/>
        <w:rPr>
          <w:rFonts w:ascii="宋体" w:hAnsi="宋体" w:cs="宋体"/>
          <w:color w:val="323232" w:themeColor="text1"/>
          <w:sz w:val="24"/>
          <w14:textFill>
            <w14:solidFill>
              <w14:schemeClr w14:val="tx1"/>
            </w14:solidFill>
          </w14:textFill>
        </w:rPr>
        <w:sectPr>
          <w:pgSz w:w="7937" w:h="11906"/>
          <w:pgMar w:top="1134" w:right="1134" w:bottom="1134" w:left="1134" w:header="851" w:footer="992" w:gutter="0"/>
          <w:pgNumType w:fmt="decimal"/>
          <w:cols w:space="0" w:num="1"/>
          <w:docGrid w:type="lines" w:linePitch="312" w:charSpace="0"/>
        </w:sectPr>
      </w:pPr>
    </w:p>
    <w:p>
      <w:pPr>
        <w:pStyle w:val="2"/>
        <w:rPr>
          <w:color w:val="323232" w:themeColor="text1"/>
          <w14:textFill>
            <w14:solidFill>
              <w14:schemeClr w14:val="tx1"/>
            </w14:solidFill>
          </w14:textFill>
        </w:rPr>
      </w:pPr>
      <w:bookmarkStart w:id="560" w:name="_Toc28223"/>
      <w:bookmarkStart w:id="561" w:name="_Toc443995555"/>
      <w:bookmarkStart w:id="562" w:name="_Toc18297"/>
      <w:bookmarkStart w:id="563" w:name="_Toc443995453"/>
      <w:bookmarkStart w:id="564" w:name="_Toc14556"/>
      <w:bookmarkStart w:id="565" w:name="_Toc416721630"/>
      <w:bookmarkStart w:id="566" w:name="_Toc443995608"/>
      <w:bookmarkStart w:id="567" w:name="_Toc8942"/>
      <w:bookmarkStart w:id="568" w:name="_Toc443995394"/>
      <w:bookmarkStart w:id="569" w:name="_Toc20172"/>
      <w:bookmarkStart w:id="570" w:name="_Toc16191"/>
      <w:bookmarkStart w:id="571" w:name="_Toc2491"/>
      <w:bookmarkStart w:id="572" w:name="_Toc20372"/>
      <w:bookmarkStart w:id="573" w:name="_Toc24140"/>
      <w:bookmarkStart w:id="574" w:name="_Toc31022"/>
      <w:bookmarkStart w:id="575" w:name="_Toc416805767"/>
      <w:bookmarkStart w:id="576" w:name="_Toc21767"/>
      <w:bookmarkStart w:id="577" w:name="_Toc13955"/>
      <w:bookmarkStart w:id="578" w:name="_Toc8295"/>
      <w:bookmarkStart w:id="579" w:name="_Toc447827333"/>
      <w:bookmarkStart w:id="580" w:name="_Toc28075"/>
      <w:r>
        <w:rPr>
          <w:color w:val="323232" w:themeColor="text1"/>
          <w14:textFill>
            <w14:solidFill>
              <w14:schemeClr w14:val="tx1"/>
            </w14:solidFill>
          </w14:textFill>
        </w:rPr>
        <w:t>引用标准名录</w:t>
      </w:r>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p>
    <w:p>
      <w:pPr>
        <w:spacing w:line="360" w:lineRule="auto"/>
        <w:ind w:firstLine="420" w:firstLineChars="200"/>
        <w:rPr>
          <w:szCs w:val="21"/>
        </w:rPr>
      </w:pPr>
      <w:r>
        <w:rPr>
          <w:szCs w:val="21"/>
        </w:rPr>
        <w:t>《岩土工程勘察规范》GB 50021</w:t>
      </w:r>
    </w:p>
    <w:p>
      <w:pPr>
        <w:spacing w:line="360" w:lineRule="auto"/>
        <w:ind w:firstLine="420" w:firstLineChars="200"/>
        <w:rPr>
          <w:szCs w:val="21"/>
        </w:rPr>
      </w:pPr>
      <w:r>
        <w:rPr>
          <w:rFonts w:hint="eastAsia"/>
          <w:color w:val="323232" w:themeColor="text1"/>
          <w:szCs w:val="21"/>
          <w14:textFill>
            <w14:solidFill>
              <w14:schemeClr w14:val="tx1"/>
            </w14:solidFill>
          </w14:textFill>
        </w:rPr>
        <w:t>《建筑地基基础工程施工质量验收标准》GB 50202</w:t>
      </w:r>
    </w:p>
    <w:p>
      <w:pPr>
        <w:spacing w:line="360" w:lineRule="auto"/>
        <w:ind w:firstLine="420" w:firstLineChars="200"/>
        <w:rPr>
          <w:szCs w:val="21"/>
        </w:rPr>
      </w:pPr>
      <w:r>
        <w:rPr>
          <w:szCs w:val="21"/>
        </w:rPr>
        <w:t>《建筑桩基技术规范》JGJ 94</w:t>
      </w:r>
    </w:p>
    <w:p>
      <w:pPr>
        <w:spacing w:line="360" w:lineRule="auto"/>
        <w:ind w:firstLine="420" w:firstLineChars="200"/>
        <w:rPr>
          <w:rFonts w:ascii="宋体" w:hAnsi="宋体" w:cs="宋体"/>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 xml:space="preserve">《混凝土中钢筋检测技术标准》JGJ </w:t>
      </w:r>
      <w:r>
        <w:rPr>
          <w:color w:val="323232" w:themeColor="text1"/>
          <w:szCs w:val="21"/>
          <w14:textFill>
            <w14:solidFill>
              <w14:schemeClr w14:val="tx1"/>
            </w14:solidFill>
          </w14:textFill>
        </w:rPr>
        <w:t>/</w:t>
      </w:r>
      <w:r>
        <w:rPr>
          <w:rFonts w:hint="eastAsia"/>
          <w:color w:val="323232" w:themeColor="text1"/>
          <w:szCs w:val="21"/>
          <w14:textFill>
            <w14:solidFill>
              <w14:schemeClr w14:val="tx1"/>
            </w14:solidFill>
          </w14:textFill>
        </w:rPr>
        <w:t>T152</w:t>
      </w:r>
    </w:p>
    <w:p>
      <w:pPr>
        <w:spacing w:line="360" w:lineRule="auto"/>
        <w:ind w:firstLine="420" w:firstLineChars="2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《建筑地基检测技术规范》JGJ340</w:t>
      </w:r>
    </w:p>
    <w:p>
      <w:pPr>
        <w:spacing w:line="360" w:lineRule="auto"/>
        <w:ind w:firstLine="420" w:firstLineChars="200"/>
        <w:rPr>
          <w:color w:val="323232" w:themeColor="text1"/>
          <w:szCs w:val="21"/>
          <w14:textFill>
            <w14:solidFill>
              <w14:schemeClr w14:val="tx1"/>
            </w14:solidFill>
          </w14:textFill>
        </w:rPr>
      </w:pPr>
      <w:bookmarkStart w:id="581" w:name="_Hlk97841778"/>
      <w:r>
        <w:rPr>
          <w:rFonts w:hint="eastAsia"/>
          <w:color w:val="323232" w:themeColor="text1"/>
          <w:szCs w:val="21"/>
          <w14:textFill>
            <w14:solidFill>
              <w14:schemeClr w14:val="tx1"/>
            </w14:solidFill>
          </w14:textFill>
        </w:rPr>
        <w:t>《既有建筑地基基础检测技术标准》JGJ422</w:t>
      </w:r>
      <w:bookmarkEnd w:id="581"/>
    </w:p>
    <w:p>
      <w:pPr>
        <w:spacing w:line="360" w:lineRule="auto"/>
        <w:ind w:firstLine="420" w:firstLineChars="2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《建筑与市政地基基础技术标准》DBJ/T13</w:t>
      </w:r>
    </w:p>
    <w:p>
      <w:pPr>
        <w:widowControl/>
        <w:jc w:val="left"/>
      </w:pPr>
    </w:p>
    <w:p>
      <w:pPr>
        <w:spacing w:line="360" w:lineRule="auto"/>
        <w:ind w:firstLine="420" w:firstLineChars="200"/>
        <w:rPr>
          <w:color w:val="323232" w:themeColor="text1"/>
          <w:szCs w:val="21"/>
          <w14:textFill>
            <w14:solidFill>
              <w14:schemeClr w14:val="tx1"/>
            </w14:solidFill>
          </w14:textFill>
        </w:rPr>
      </w:pPr>
    </w:p>
    <w:p>
      <w:pPr>
        <w:widowControl/>
        <w:jc w:val="left"/>
        <w:rPr>
          <w:color w:val="323232" w:themeColor="text1"/>
          <w:sz w:val="24"/>
          <w14:textFill>
            <w14:solidFill>
              <w14:schemeClr w14:val="tx1"/>
            </w14:solidFill>
          </w14:textFill>
        </w:rPr>
      </w:pPr>
      <w:r>
        <w:rPr>
          <w:color w:val="323232" w:themeColor="text1"/>
          <w:sz w:val="24"/>
          <w14:textFill>
            <w14:solidFill>
              <w14:schemeClr w14:val="tx1"/>
            </w14:solidFill>
          </w14:textFill>
        </w:rPr>
        <w:br w:type="page"/>
      </w:r>
    </w:p>
    <w:p>
      <w:pPr>
        <w:pStyle w:val="22"/>
        <w:outlineLvl w:val="9"/>
        <w:rPr>
          <w:rFonts w:ascii="黑体" w:hAnsi="宋体" w:eastAsia="黑体"/>
          <w:color w:val="323232" w:themeColor="text1"/>
          <w:sz w:val="32"/>
          <w:szCs w:val="32"/>
          <w14:textFill>
            <w14:solidFill>
              <w14:schemeClr w14:val="tx1"/>
            </w14:solidFill>
          </w14:textFill>
        </w:rPr>
      </w:pPr>
    </w:p>
    <w:p>
      <w:pPr>
        <w:pStyle w:val="22"/>
        <w:jc w:val="center"/>
        <w:outlineLvl w:val="9"/>
        <w:rPr>
          <w:rFonts w:ascii="黑体" w:hAnsi="宋体" w:eastAsia="黑体"/>
          <w:color w:val="323232" w:themeColor="text1"/>
          <w:sz w:val="32"/>
          <w:szCs w:val="32"/>
          <w14:textFill>
            <w14:solidFill>
              <w14:schemeClr w14:val="tx1"/>
            </w14:solidFill>
          </w14:textFill>
        </w:rPr>
      </w:pPr>
      <w:bookmarkStart w:id="582" w:name="_Toc27942"/>
      <w:bookmarkStart w:id="583" w:name="_Toc25169"/>
      <w:bookmarkStart w:id="584" w:name="_Toc5097"/>
      <w:bookmarkStart w:id="585" w:name="_Toc29717"/>
      <w:bookmarkStart w:id="586" w:name="_Toc29552"/>
      <w:bookmarkStart w:id="587" w:name="_Toc29493"/>
      <w:bookmarkStart w:id="588" w:name="_Toc26989"/>
      <w:bookmarkStart w:id="589" w:name="_Toc30135"/>
      <w:bookmarkStart w:id="590" w:name="_Toc3907"/>
      <w:bookmarkStart w:id="591" w:name="_Toc12348"/>
      <w:bookmarkStart w:id="592" w:name="_Toc18829"/>
      <w:bookmarkStart w:id="593" w:name="_Toc19059"/>
      <w:bookmarkStart w:id="594" w:name="_Toc20480"/>
      <w:r>
        <w:rPr>
          <w:rFonts w:ascii="黑体" w:hAnsi="宋体" w:eastAsia="黑体"/>
          <w:color w:val="323232" w:themeColor="text1"/>
          <w:sz w:val="32"/>
          <w:szCs w:val="32"/>
          <w14:textFill>
            <w14:solidFill>
              <w14:schemeClr w14:val="tx1"/>
            </w14:solidFill>
          </w14:textFill>
        </w:rPr>
        <w:t>福建省工程建设地方标准</w:t>
      </w:r>
      <w:bookmarkEnd w:id="582"/>
      <w:bookmarkEnd w:id="583"/>
      <w:bookmarkEnd w:id="584"/>
      <w:bookmarkEnd w:id="585"/>
      <w:bookmarkEnd w:id="586"/>
      <w:bookmarkEnd w:id="587"/>
      <w:bookmarkEnd w:id="588"/>
      <w:bookmarkEnd w:id="589"/>
      <w:bookmarkEnd w:id="590"/>
      <w:bookmarkEnd w:id="591"/>
      <w:bookmarkEnd w:id="592"/>
      <w:bookmarkEnd w:id="593"/>
      <w:bookmarkEnd w:id="594"/>
    </w:p>
    <w:p>
      <w:pPr>
        <w:adjustRightInd w:val="0"/>
        <w:snapToGrid w:val="0"/>
        <w:spacing w:line="300" w:lineRule="auto"/>
        <w:jc w:val="center"/>
        <w:rPr>
          <w:b/>
          <w:bCs/>
          <w:color w:val="323232" w:themeColor="text1"/>
          <w:sz w:val="36"/>
          <w14:textFill>
            <w14:solidFill>
              <w14:schemeClr w14:val="tx1"/>
            </w14:solidFill>
          </w14:textFill>
        </w:rPr>
      </w:pPr>
    </w:p>
    <w:p>
      <w:pPr>
        <w:adjustRightInd w:val="0"/>
        <w:snapToGrid w:val="0"/>
        <w:spacing w:line="300" w:lineRule="auto"/>
        <w:jc w:val="center"/>
        <w:rPr>
          <w:b/>
          <w:bCs/>
          <w:color w:val="323232" w:themeColor="text1"/>
          <w:sz w:val="36"/>
          <w14:textFill>
            <w14:solidFill>
              <w14:schemeClr w14:val="tx1"/>
            </w14:solidFill>
          </w14:textFill>
        </w:rPr>
      </w:pPr>
    </w:p>
    <w:p>
      <w:pPr>
        <w:adjustRightInd w:val="0"/>
        <w:snapToGrid w:val="0"/>
        <w:jc w:val="center"/>
        <w:rPr>
          <w:rFonts w:ascii="黑体" w:hAnsi="黑体" w:eastAsia="黑体" w:cs="黑体"/>
          <w:color w:val="323232" w:themeColor="text1"/>
          <w:sz w:val="44"/>
          <w:szCs w:val="44"/>
          <w14:textFill>
            <w14:solidFill>
              <w14:schemeClr w14:val="tx1"/>
            </w14:solidFill>
          </w14:textFill>
        </w:rPr>
      </w:pPr>
      <w:r>
        <w:rPr>
          <w:rFonts w:hint="eastAsia" w:ascii="黑体" w:hAnsi="黑体" w:eastAsia="黑体" w:cs="黑体"/>
          <w:color w:val="323232" w:themeColor="text1"/>
          <w:sz w:val="44"/>
          <w:szCs w:val="44"/>
          <w14:textFill>
            <w14:solidFill>
              <w14:schemeClr w14:val="tx1"/>
            </w14:solidFill>
          </w14:textFill>
        </w:rPr>
        <w:t>既有桩基清除技术标准</w:t>
      </w:r>
    </w:p>
    <w:p>
      <w:pPr>
        <w:pStyle w:val="22"/>
        <w:adjustRightInd w:val="0"/>
        <w:snapToGrid w:val="0"/>
        <w:jc w:val="center"/>
        <w:outlineLvl w:val="9"/>
        <w:rPr>
          <w:b/>
          <w:color w:val="323232" w:themeColor="text1"/>
          <w:sz w:val="36"/>
          <w:szCs w:val="36"/>
          <w14:textFill>
            <w14:solidFill>
              <w14:schemeClr w14:val="tx1"/>
            </w14:solidFill>
          </w14:textFill>
        </w:rPr>
      </w:pPr>
    </w:p>
    <w:p>
      <w:pPr>
        <w:pStyle w:val="22"/>
        <w:adjustRightInd w:val="0"/>
        <w:snapToGrid w:val="0"/>
        <w:jc w:val="center"/>
        <w:outlineLvl w:val="9"/>
        <w:rPr>
          <w:b/>
          <w:color w:val="323232" w:themeColor="text1"/>
          <w:sz w:val="28"/>
          <w:szCs w:val="28"/>
          <w14:textFill>
            <w14:solidFill>
              <w14:schemeClr w14:val="tx1"/>
            </w14:solidFill>
          </w14:textFill>
        </w:rPr>
      </w:pPr>
      <w:bookmarkStart w:id="595" w:name="_Toc31669"/>
      <w:bookmarkStart w:id="596" w:name="_Toc9534"/>
      <w:bookmarkStart w:id="597" w:name="_Toc31906"/>
      <w:bookmarkStart w:id="598" w:name="_Toc11371"/>
      <w:bookmarkStart w:id="599" w:name="_Toc26212"/>
      <w:bookmarkStart w:id="600" w:name="_Toc3561"/>
      <w:bookmarkStart w:id="601" w:name="_Toc22746"/>
      <w:bookmarkStart w:id="602" w:name="_Toc21519"/>
      <w:bookmarkStart w:id="603" w:name="_Toc5613"/>
      <w:bookmarkStart w:id="604" w:name="_Toc6121"/>
      <w:bookmarkStart w:id="605" w:name="_Toc29721"/>
      <w:bookmarkStart w:id="606" w:name="_Toc31283"/>
      <w:bookmarkStart w:id="607" w:name="_Toc15737"/>
      <w:r>
        <w:rPr>
          <w:b/>
          <w:color w:val="323232" w:themeColor="text1"/>
          <w:sz w:val="28"/>
          <w:szCs w:val="28"/>
          <w14:textFill>
            <w14:solidFill>
              <w14:schemeClr w14:val="tx1"/>
            </w14:solidFill>
          </w14:textFill>
        </w:rPr>
        <w:t xml:space="preserve">Technical </w:t>
      </w:r>
      <w:r>
        <w:rPr>
          <w:rFonts w:hint="eastAsia"/>
          <w:b/>
          <w:color w:val="323232" w:themeColor="text1"/>
          <w:sz w:val="28"/>
          <w:szCs w:val="28"/>
          <w14:textFill>
            <w14:solidFill>
              <w14:schemeClr w14:val="tx1"/>
            </w14:solidFill>
          </w14:textFill>
        </w:rPr>
        <w:t>Standard</w:t>
      </w:r>
      <w:r>
        <w:rPr>
          <w:b/>
          <w:color w:val="323232" w:themeColor="text1"/>
          <w:sz w:val="28"/>
          <w:szCs w:val="28"/>
          <w14:textFill>
            <w14:solidFill>
              <w14:schemeClr w14:val="tx1"/>
            </w14:solidFill>
          </w14:textFill>
        </w:rPr>
        <w:t xml:space="preserve"> for </w:t>
      </w:r>
      <w:r>
        <w:rPr>
          <w:rFonts w:hint="eastAsia"/>
          <w:b/>
          <w:color w:val="323232" w:themeColor="text1"/>
          <w:sz w:val="28"/>
          <w:szCs w:val="28"/>
          <w14:textFill>
            <w14:solidFill>
              <w14:schemeClr w14:val="tx1"/>
            </w14:solidFill>
          </w14:textFill>
        </w:rPr>
        <w:t>r</w:t>
      </w:r>
      <w:r>
        <w:rPr>
          <w:b/>
          <w:color w:val="323232" w:themeColor="text1"/>
          <w:sz w:val="28"/>
          <w:szCs w:val="28"/>
          <w14:textFill>
            <w14:solidFill>
              <w14:schemeClr w14:val="tx1"/>
            </w14:solidFill>
          </w14:textFill>
        </w:rPr>
        <w:t>emoval of existing pile foundation</w:t>
      </w:r>
      <w:bookmarkEnd w:id="595"/>
      <w:bookmarkEnd w:id="596"/>
      <w:bookmarkEnd w:id="597"/>
      <w:bookmarkEnd w:id="598"/>
      <w:bookmarkEnd w:id="599"/>
      <w:bookmarkEnd w:id="600"/>
      <w:bookmarkEnd w:id="601"/>
      <w:bookmarkEnd w:id="602"/>
      <w:bookmarkEnd w:id="603"/>
      <w:bookmarkEnd w:id="604"/>
      <w:bookmarkEnd w:id="605"/>
      <w:bookmarkEnd w:id="606"/>
      <w:bookmarkEnd w:id="607"/>
    </w:p>
    <w:p>
      <w:pPr>
        <w:pStyle w:val="22"/>
        <w:adjustRightInd w:val="0"/>
        <w:snapToGrid w:val="0"/>
        <w:jc w:val="center"/>
        <w:outlineLvl w:val="9"/>
        <w:rPr>
          <w:color w:val="323232" w:themeColor="text1"/>
          <w14:textFill>
            <w14:solidFill>
              <w14:schemeClr w14:val="tx1"/>
            </w14:solidFill>
          </w14:textFill>
        </w:rPr>
      </w:pPr>
    </w:p>
    <w:p>
      <w:pPr>
        <w:pStyle w:val="22"/>
        <w:adjustRightInd w:val="0"/>
        <w:snapToGrid w:val="0"/>
        <w:jc w:val="center"/>
        <w:outlineLvl w:val="9"/>
        <w:rPr>
          <w:color w:val="323232" w:themeColor="text1"/>
          <w14:textFill>
            <w14:solidFill>
              <w14:schemeClr w14:val="tx1"/>
            </w14:solidFill>
          </w14:textFill>
        </w:rPr>
      </w:pPr>
    </w:p>
    <w:p>
      <w:pPr>
        <w:pStyle w:val="22"/>
        <w:jc w:val="center"/>
        <w:outlineLvl w:val="9"/>
        <w:rPr>
          <w:color w:val="323232" w:themeColor="text1"/>
          <w:sz w:val="21"/>
          <w:szCs w:val="21"/>
          <w14:textFill>
            <w14:solidFill>
              <w14:schemeClr w14:val="tx1"/>
            </w14:solidFill>
          </w14:textFill>
        </w:rPr>
      </w:pPr>
      <w:bookmarkStart w:id="608" w:name="_Toc2762"/>
      <w:bookmarkStart w:id="609" w:name="_Toc23864"/>
      <w:bookmarkStart w:id="610" w:name="_Toc18415"/>
      <w:bookmarkStart w:id="611" w:name="_Toc11942"/>
      <w:bookmarkStart w:id="612" w:name="_Toc22212"/>
      <w:bookmarkStart w:id="613" w:name="_Toc30867"/>
      <w:bookmarkStart w:id="614" w:name="_Toc5403"/>
      <w:bookmarkStart w:id="615" w:name="_Toc17771"/>
      <w:bookmarkStart w:id="616" w:name="_Toc22670"/>
      <w:bookmarkStart w:id="617" w:name="_Toc28858"/>
      <w:bookmarkStart w:id="618" w:name="_Toc8699"/>
      <w:bookmarkStart w:id="619" w:name="_Toc25086"/>
      <w:bookmarkStart w:id="620" w:name="_Toc3276"/>
      <w:r>
        <w:rPr>
          <w:color w:val="323232" w:themeColor="text1"/>
          <w:sz w:val="21"/>
          <w:szCs w:val="21"/>
          <w14:textFill>
            <w14:solidFill>
              <w14:schemeClr w14:val="tx1"/>
            </w14:solidFill>
          </w14:textFill>
        </w:rPr>
        <w:t>工程建设地方标准编号：DBJ</w:t>
      </w:r>
      <w:r>
        <w:rPr>
          <w:rFonts w:hint="eastAsia"/>
          <w:color w:val="323232" w:themeColor="text1"/>
          <w:sz w:val="21"/>
          <w:szCs w:val="21"/>
          <w14:textFill>
            <w14:solidFill>
              <w14:schemeClr w14:val="tx1"/>
            </w14:solidFill>
          </w14:textFill>
        </w:rPr>
        <w:t xml:space="preserve"> </w:t>
      </w:r>
      <w:r>
        <w:rPr>
          <w:color w:val="323232" w:themeColor="text1"/>
          <w:sz w:val="21"/>
          <w:szCs w:val="21"/>
          <w14:textFill>
            <w14:solidFill>
              <w14:schemeClr w14:val="tx1"/>
            </w14:solidFill>
          </w14:textFill>
        </w:rPr>
        <w:t>13</w:t>
      </w:r>
      <w:r>
        <w:rPr>
          <w:rFonts w:hint="eastAsia" w:ascii="宋体" w:hAnsi="宋体" w:cs="宋体"/>
          <w:color w:val="323232" w:themeColor="text1"/>
          <w:sz w:val="21"/>
          <w:szCs w:val="21"/>
          <w14:textFill>
            <w14:solidFill>
              <w14:schemeClr w14:val="tx1"/>
            </w14:solidFill>
          </w14:textFill>
        </w:rPr>
        <w:t>-</w:t>
      </w:r>
      <w:r>
        <w:rPr>
          <w:rFonts w:hint="eastAsia"/>
          <w:color w:val="323232" w:themeColor="text1"/>
          <w:sz w:val="21"/>
          <w:szCs w:val="21"/>
          <w14:textFill>
            <w14:solidFill>
              <w14:schemeClr w14:val="tx1"/>
            </w14:solidFill>
          </w14:textFill>
        </w:rPr>
        <w:t>×××</w:t>
      </w:r>
      <w:r>
        <w:rPr>
          <w:rFonts w:hint="eastAsia" w:ascii="宋体" w:hAnsi="宋体" w:cs="宋体"/>
          <w:color w:val="323232" w:themeColor="text1"/>
          <w:sz w:val="21"/>
          <w:szCs w:val="21"/>
          <w14:textFill>
            <w14:solidFill>
              <w14:schemeClr w14:val="tx1"/>
            </w14:solidFill>
          </w14:textFill>
        </w:rPr>
        <w:t>-</w:t>
      </w:r>
      <w:r>
        <w:rPr>
          <w:rFonts w:hint="eastAsia"/>
          <w:color w:val="323232" w:themeColor="text1"/>
          <w:sz w:val="21"/>
          <w:szCs w:val="21"/>
          <w14:textFill>
            <w14:solidFill>
              <w14:schemeClr w14:val="tx1"/>
            </w14:solidFill>
          </w14:textFill>
        </w:rPr>
        <w:t>2022</w:t>
      </w:r>
      <w:bookmarkEnd w:id="608"/>
      <w:bookmarkEnd w:id="609"/>
      <w:bookmarkEnd w:id="610"/>
      <w:bookmarkEnd w:id="611"/>
      <w:bookmarkEnd w:id="612"/>
      <w:bookmarkEnd w:id="613"/>
      <w:bookmarkEnd w:id="614"/>
      <w:bookmarkEnd w:id="615"/>
      <w:bookmarkEnd w:id="616"/>
      <w:bookmarkEnd w:id="617"/>
      <w:bookmarkEnd w:id="618"/>
      <w:bookmarkEnd w:id="619"/>
      <w:bookmarkEnd w:id="620"/>
    </w:p>
    <w:p>
      <w:pPr>
        <w:pStyle w:val="22"/>
        <w:adjustRightInd w:val="0"/>
        <w:snapToGrid w:val="0"/>
        <w:spacing w:line="360" w:lineRule="auto"/>
        <w:jc w:val="center"/>
        <w:outlineLvl w:val="9"/>
        <w:rPr>
          <w:color w:val="323232" w:themeColor="text1"/>
          <w:sz w:val="21"/>
          <w:szCs w:val="21"/>
          <w14:textFill>
            <w14:solidFill>
              <w14:schemeClr w14:val="tx1"/>
            </w14:solidFill>
          </w14:textFill>
        </w:rPr>
      </w:pPr>
      <w:bookmarkStart w:id="621" w:name="_Toc11947"/>
      <w:bookmarkStart w:id="622" w:name="_Toc30149"/>
      <w:bookmarkStart w:id="623" w:name="_Toc491"/>
      <w:bookmarkStart w:id="624" w:name="_Toc23474"/>
      <w:bookmarkStart w:id="625" w:name="_Toc13378"/>
      <w:bookmarkStart w:id="626" w:name="_Toc15092"/>
      <w:bookmarkStart w:id="627" w:name="_Toc22241"/>
      <w:bookmarkStart w:id="628" w:name="_Toc2803"/>
      <w:bookmarkStart w:id="629" w:name="_Toc11809"/>
      <w:bookmarkStart w:id="630" w:name="_Toc14516"/>
      <w:bookmarkStart w:id="631" w:name="_Toc1440"/>
      <w:bookmarkStart w:id="632" w:name="_Toc26321"/>
      <w:bookmarkStart w:id="633" w:name="_Toc16140"/>
      <w:r>
        <w:rPr>
          <w:color w:val="323232" w:themeColor="text1"/>
          <w:sz w:val="21"/>
          <w:szCs w:val="21"/>
          <w14:textFill>
            <w14:solidFill>
              <w14:schemeClr w14:val="tx1"/>
            </w14:solidFill>
          </w14:textFill>
        </w:rPr>
        <w:t>住房和城乡建设部备案号：</w:t>
      </w:r>
      <w:r>
        <w:rPr>
          <w:rFonts w:hint="eastAsia"/>
          <w:color w:val="323232" w:themeColor="text1"/>
          <w:sz w:val="21"/>
          <w:szCs w:val="21"/>
          <w14:textFill>
            <w14:solidFill>
              <w14:schemeClr w14:val="tx1"/>
            </w14:solidFill>
          </w14:textFill>
        </w:rPr>
        <w:t>××</w:t>
      </w:r>
      <w:r>
        <w:rPr>
          <w:rFonts w:hint="eastAsia" w:ascii="宋体" w:hAnsi="宋体" w:cs="宋体"/>
          <w:color w:val="323232" w:themeColor="text1"/>
          <w:sz w:val="21"/>
          <w:szCs w:val="21"/>
          <w14:textFill>
            <w14:solidFill>
              <w14:schemeClr w14:val="tx1"/>
            </w14:solidFill>
          </w14:textFill>
        </w:rPr>
        <w:t>-</w:t>
      </w:r>
      <w:r>
        <w:rPr>
          <w:rFonts w:hint="eastAsia"/>
          <w:color w:val="323232" w:themeColor="text1"/>
          <w:sz w:val="21"/>
          <w:szCs w:val="21"/>
          <w14:textFill>
            <w14:solidFill>
              <w14:schemeClr w14:val="tx1"/>
            </w14:solidFill>
          </w14:textFill>
        </w:rPr>
        <w:t>2022</w:t>
      </w:r>
      <w:bookmarkEnd w:id="621"/>
      <w:bookmarkEnd w:id="622"/>
      <w:bookmarkEnd w:id="623"/>
      <w:bookmarkEnd w:id="624"/>
      <w:bookmarkEnd w:id="625"/>
      <w:bookmarkEnd w:id="626"/>
      <w:bookmarkEnd w:id="627"/>
      <w:bookmarkEnd w:id="628"/>
      <w:bookmarkEnd w:id="629"/>
      <w:bookmarkEnd w:id="630"/>
      <w:bookmarkEnd w:id="631"/>
      <w:bookmarkEnd w:id="632"/>
      <w:bookmarkEnd w:id="633"/>
    </w:p>
    <w:p>
      <w:pPr>
        <w:pStyle w:val="22"/>
        <w:adjustRightInd w:val="0"/>
        <w:snapToGrid w:val="0"/>
        <w:jc w:val="center"/>
        <w:outlineLvl w:val="9"/>
        <w:rPr>
          <w:color w:val="323232" w:themeColor="text1"/>
          <w14:textFill>
            <w14:solidFill>
              <w14:schemeClr w14:val="tx1"/>
            </w14:solidFill>
          </w14:textFill>
        </w:rPr>
      </w:pPr>
    </w:p>
    <w:p>
      <w:pPr>
        <w:pStyle w:val="22"/>
        <w:adjustRightInd w:val="0"/>
        <w:snapToGrid w:val="0"/>
        <w:jc w:val="center"/>
        <w:outlineLvl w:val="9"/>
        <w:rPr>
          <w:color w:val="323232" w:themeColor="text1"/>
          <w:sz w:val="32"/>
          <w:szCs w:val="32"/>
          <w14:textFill>
            <w14:solidFill>
              <w14:schemeClr w14:val="tx1"/>
            </w14:solidFill>
          </w14:textFill>
        </w:rPr>
      </w:pPr>
      <w:bookmarkStart w:id="634" w:name="_Toc7764"/>
      <w:bookmarkStart w:id="635" w:name="_Toc7158"/>
      <w:bookmarkStart w:id="636" w:name="_Toc5542"/>
      <w:bookmarkStart w:id="637" w:name="_Toc31702"/>
      <w:bookmarkStart w:id="638" w:name="_Toc17850"/>
      <w:bookmarkStart w:id="639" w:name="_Toc14830"/>
      <w:bookmarkStart w:id="640" w:name="_Toc11912"/>
      <w:bookmarkStart w:id="641" w:name="_Toc3179"/>
      <w:bookmarkStart w:id="642" w:name="_Toc3133"/>
      <w:bookmarkStart w:id="643" w:name="_Toc2435"/>
      <w:bookmarkStart w:id="644" w:name="_Toc2529"/>
      <w:bookmarkStart w:id="645" w:name="_Toc28859"/>
      <w:bookmarkStart w:id="646" w:name="_Toc25877"/>
      <w:r>
        <w:rPr>
          <w:rFonts w:hint="eastAsia"/>
          <w:color w:val="323232" w:themeColor="text1"/>
          <w:sz w:val="32"/>
          <w:szCs w:val="32"/>
          <w14:textFill>
            <w14:solidFill>
              <w14:schemeClr w14:val="tx1"/>
            </w14:solidFill>
          </w14:textFill>
        </w:rPr>
        <w:t>条文说明</w:t>
      </w:r>
      <w:bookmarkEnd w:id="634"/>
      <w:bookmarkEnd w:id="635"/>
      <w:bookmarkEnd w:id="636"/>
      <w:bookmarkEnd w:id="637"/>
      <w:bookmarkEnd w:id="638"/>
      <w:bookmarkEnd w:id="639"/>
      <w:bookmarkEnd w:id="640"/>
      <w:bookmarkEnd w:id="641"/>
      <w:bookmarkEnd w:id="642"/>
      <w:bookmarkEnd w:id="643"/>
      <w:bookmarkEnd w:id="644"/>
      <w:bookmarkEnd w:id="645"/>
      <w:bookmarkEnd w:id="646"/>
    </w:p>
    <w:p>
      <w:pPr>
        <w:adjustRightInd w:val="0"/>
        <w:snapToGrid w:val="0"/>
        <w:rPr>
          <w:color w:val="323232" w:themeColor="text1"/>
          <w14:textFill>
            <w14:solidFill>
              <w14:schemeClr w14:val="tx1"/>
            </w14:solidFill>
          </w14:textFill>
        </w:rPr>
      </w:pPr>
    </w:p>
    <w:p>
      <w:pPr>
        <w:adjustRightInd w:val="0"/>
        <w:snapToGrid w:val="0"/>
        <w:rPr>
          <w:color w:val="323232" w:themeColor="text1"/>
          <w14:textFill>
            <w14:solidFill>
              <w14:schemeClr w14:val="tx1"/>
            </w14:solidFill>
          </w14:textFill>
        </w:rPr>
      </w:pPr>
    </w:p>
    <w:p/>
    <w:p>
      <w:pPr>
        <w:widowControl/>
        <w:jc w:val="left"/>
      </w:pPr>
      <w:r>
        <w:br w:type="page"/>
      </w: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647" w:name="_Toc27574"/>
      <w:bookmarkStart w:id="648" w:name="_Toc23251"/>
      <w:bookmarkStart w:id="649" w:name="_Toc27369"/>
      <w:bookmarkStart w:id="650" w:name="_Toc23377"/>
      <w:bookmarkStart w:id="651" w:name="_Toc19227"/>
      <w:bookmarkStart w:id="652" w:name="_Toc8605"/>
      <w:bookmarkStart w:id="653" w:name="_Toc12987"/>
      <w:bookmarkStart w:id="654" w:name="_Toc22593"/>
      <w:bookmarkStart w:id="655" w:name="_Toc17651"/>
      <w:bookmarkStart w:id="656" w:name="_Toc19796"/>
      <w:r>
        <w:rPr>
          <w:rFonts w:hint="eastAsia" w:eastAsia="黑体"/>
          <w:color w:val="323232" w:themeColor="text1"/>
          <w:kern w:val="44"/>
          <w:sz w:val="32"/>
          <w:szCs w:val="32"/>
          <w14:textFill>
            <w14:solidFill>
              <w14:schemeClr w14:val="tx1"/>
            </w14:solidFill>
          </w14:textFill>
        </w:rPr>
        <w:t>编制说明</w:t>
      </w:r>
      <w:bookmarkEnd w:id="647"/>
      <w:bookmarkEnd w:id="648"/>
      <w:bookmarkEnd w:id="649"/>
      <w:bookmarkEnd w:id="650"/>
      <w:bookmarkEnd w:id="651"/>
      <w:bookmarkEnd w:id="652"/>
      <w:bookmarkEnd w:id="653"/>
      <w:bookmarkEnd w:id="654"/>
      <w:bookmarkEnd w:id="655"/>
      <w:bookmarkEnd w:id="656"/>
    </w:p>
    <w:p>
      <w:pPr>
        <w:spacing w:line="348" w:lineRule="auto"/>
        <w:ind w:firstLine="420" w:firstLineChars="200"/>
        <w:rPr>
          <w:szCs w:val="21"/>
        </w:rPr>
      </w:pPr>
      <w:r>
        <w:rPr>
          <w:rFonts w:hint="eastAsia"/>
          <w:szCs w:val="21"/>
        </w:rPr>
        <w:t>本标准编制过程中，编制组进行了广泛的调查研究，总结了我省既有桩基清除的实践经验，同时参考了省内外先进技术法规、技术标准，并广泛征求了意见。</w:t>
      </w:r>
    </w:p>
    <w:p>
      <w:pPr>
        <w:spacing w:line="348" w:lineRule="auto"/>
        <w:ind w:firstLine="420" w:firstLineChars="200"/>
        <w:rPr>
          <w:szCs w:val="21"/>
        </w:rPr>
      </w:pPr>
      <w:r>
        <w:rPr>
          <w:rFonts w:hint="eastAsia"/>
          <w:szCs w:val="21"/>
        </w:rPr>
        <w:t>为便于广大设计、施工、科研、教学等单位有关人员在使用本标准时能正确理解和执行条文规定，编制组按章、节、条顺序编制了本标准的条文说明，对条文规定的目的、依据以及执行中需注意的有关事项进行了说明。但是，本条文说明不具备与标准正文同等的效力，仅供使用者作为理解和把握标准规定的参考。</w:t>
      </w: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snapToGrid w:val="0"/>
        <w:spacing w:line="360" w:lineRule="auto"/>
        <w:ind w:firstLine="420" w:firstLineChars="200"/>
        <w:rPr>
          <w:szCs w:val="21"/>
        </w:rPr>
      </w:pPr>
    </w:p>
    <w:p>
      <w:pPr>
        <w:pStyle w:val="11"/>
        <w:tabs>
          <w:tab w:val="right" w:leader="dot" w:pos="5669"/>
        </w:tabs>
        <w:rPr>
          <w:rFonts w:eastAsia="黑体"/>
          <w:color w:val="323232" w:themeColor="text1"/>
          <w:kern w:val="44"/>
          <w:sz w:val="32"/>
          <w:szCs w:val="32"/>
          <w14:textFill>
            <w14:solidFill>
              <w14:schemeClr w14:val="tx1"/>
            </w14:solidFill>
          </w14:textFill>
        </w:rPr>
      </w:pPr>
      <w:r>
        <w:rPr>
          <w:rFonts w:hint="eastAsia"/>
        </w:rPr>
        <w:t xml:space="preserve">                     </w:t>
      </w:r>
      <w:r>
        <w:rPr>
          <w:rFonts w:hint="eastAsia" w:eastAsia="黑体"/>
          <w:color w:val="323232" w:themeColor="text1"/>
          <w:kern w:val="44"/>
          <w:sz w:val="32"/>
          <w:szCs w:val="32"/>
          <w14:textFill>
            <w14:solidFill>
              <w14:schemeClr w14:val="tx1"/>
            </w14:solidFill>
          </w14:textFill>
        </w:rPr>
        <w:t>目     次</w:t>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color w:val="323232" w:themeColor="text1"/>
          <w14:textFill>
            <w14:solidFill>
              <w14:schemeClr w14:val="tx1"/>
            </w14:solidFill>
          </w14:textFill>
        </w:rPr>
        <w:instrText xml:space="preserve">TOC \o "1-3" \h \u </w:instrText>
      </w:r>
      <w:r>
        <w:rPr>
          <w:rFonts w:hint="default" w:ascii="Times New Roman" w:hAnsi="Times New Roman" w:cs="Times New Roman"/>
          <w:color w:val="323232" w:themeColor="text1"/>
          <w14:textFill>
            <w14:solidFill>
              <w14:schemeClr w14:val="tx1"/>
            </w14:solidFill>
          </w14:textFill>
        </w:rPr>
        <w:fldChar w:fldCharType="separate"/>
      </w: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_Toc29053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1   总  则</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_Toc29053 </w:instrText>
      </w:r>
      <w:r>
        <w:rPr>
          <w:rFonts w:hint="default" w:ascii="Times New Roman" w:hAnsi="Times New Roman" w:cs="Times New Roman"/>
        </w:rPr>
        <w:fldChar w:fldCharType="separate"/>
      </w:r>
      <w:r>
        <w:rPr>
          <w:rFonts w:hint="default" w:ascii="Times New Roman" w:hAnsi="Times New Roman" w:cs="Times New Roman"/>
        </w:rPr>
        <w:t>35</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_Toc10031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2  术语和符号</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_Toc10031 </w:instrText>
      </w:r>
      <w:r>
        <w:rPr>
          <w:rFonts w:hint="default" w:ascii="Times New Roman" w:hAnsi="Times New Roman" w:cs="Times New Roman"/>
        </w:rPr>
        <w:fldChar w:fldCharType="separate"/>
      </w:r>
      <w:r>
        <w:rPr>
          <w:rFonts w:hint="default" w:ascii="Times New Roman" w:hAnsi="Times New Roman" w:cs="Times New Roman"/>
        </w:rPr>
        <w:t>36</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_Toc16019 </w:instrText>
      </w:r>
      <w:r>
        <w:rPr>
          <w:rFonts w:hint="default" w:ascii="Times New Roman" w:hAnsi="Times New Roman" w:cs="Times New Roman"/>
        </w:rPr>
        <w:fldChar w:fldCharType="separate"/>
      </w:r>
      <w:r>
        <w:rPr>
          <w:rFonts w:hint="default" w:ascii="Times New Roman" w:hAnsi="Times New Roman" w:cs="Times New Roman"/>
        </w:rPr>
        <w:t xml:space="preserve">2.1  </w:t>
      </w:r>
      <w:r>
        <w:rPr>
          <w:rFonts w:hint="default" w:ascii="Times New Roman" w:hAnsi="Times New Roman" w:eastAsia="宋体" w:cs="Times New Roman"/>
          <w:bCs/>
        </w:rPr>
        <w:t>术  语</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_Toc16019 </w:instrText>
      </w:r>
      <w:r>
        <w:rPr>
          <w:rFonts w:hint="default" w:ascii="Times New Roman" w:hAnsi="Times New Roman" w:cs="Times New Roman"/>
        </w:rPr>
        <w:fldChar w:fldCharType="separate"/>
      </w:r>
      <w:r>
        <w:rPr>
          <w:rFonts w:hint="default" w:ascii="Times New Roman" w:hAnsi="Times New Roman" w:cs="Times New Roman"/>
        </w:rPr>
        <w:t>36</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_Toc22763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3  基本规定</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_Toc22763 </w:instrText>
      </w:r>
      <w:r>
        <w:rPr>
          <w:rFonts w:hint="default" w:ascii="Times New Roman" w:hAnsi="Times New Roman" w:cs="Times New Roman"/>
        </w:rPr>
        <w:fldChar w:fldCharType="separate"/>
      </w:r>
      <w:r>
        <w:rPr>
          <w:rFonts w:hint="default" w:ascii="Times New Roman" w:hAnsi="Times New Roman" w:cs="Times New Roman"/>
        </w:rPr>
        <w:t>37</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_Toc2700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4  工程勘察</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_Toc2700 </w:instrText>
      </w:r>
      <w:r>
        <w:rPr>
          <w:rFonts w:hint="default" w:ascii="Times New Roman" w:hAnsi="Times New Roman" w:cs="Times New Roman"/>
        </w:rPr>
        <w:fldChar w:fldCharType="separate"/>
      </w:r>
      <w:r>
        <w:rPr>
          <w:rFonts w:hint="default" w:ascii="Times New Roman" w:hAnsi="Times New Roman" w:cs="Times New Roman"/>
        </w:rPr>
        <w:t>38</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_Toc19745 </w:instrText>
      </w:r>
      <w:r>
        <w:rPr>
          <w:rFonts w:hint="default" w:ascii="Times New Roman" w:hAnsi="Times New Roman" w:cs="Times New Roman"/>
        </w:rPr>
        <w:fldChar w:fldCharType="separate"/>
      </w:r>
      <w:r>
        <w:rPr>
          <w:rFonts w:hint="default" w:ascii="Times New Roman" w:hAnsi="Times New Roman" w:cs="Times New Roman"/>
        </w:rPr>
        <w:t xml:space="preserve">4.1  </w:t>
      </w:r>
      <w:r>
        <w:rPr>
          <w:rFonts w:hint="default" w:ascii="Times New Roman" w:hAnsi="Times New Roman" w:eastAsia="宋体" w:cs="Times New Roman"/>
          <w:bCs/>
        </w:rPr>
        <w:t>一般规定</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_Toc19745 </w:instrText>
      </w:r>
      <w:r>
        <w:rPr>
          <w:rFonts w:hint="default" w:ascii="Times New Roman" w:hAnsi="Times New Roman" w:cs="Times New Roman"/>
        </w:rPr>
        <w:fldChar w:fldCharType="separate"/>
      </w:r>
      <w:r>
        <w:rPr>
          <w:rFonts w:hint="default" w:ascii="Times New Roman" w:hAnsi="Times New Roman" w:cs="Times New Roman"/>
        </w:rPr>
        <w:t>38</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_Toc12966 </w:instrText>
      </w:r>
      <w:r>
        <w:rPr>
          <w:rFonts w:hint="default" w:ascii="Times New Roman" w:hAnsi="Times New Roman" w:cs="Times New Roman"/>
        </w:rPr>
        <w:fldChar w:fldCharType="separate"/>
      </w:r>
      <w:r>
        <w:rPr>
          <w:rFonts w:hint="default" w:ascii="Times New Roman" w:hAnsi="Times New Roman" w:cs="Times New Roman"/>
        </w:rPr>
        <w:t xml:space="preserve">4.2  </w:t>
      </w:r>
      <w:r>
        <w:rPr>
          <w:rFonts w:hint="default" w:ascii="Times New Roman" w:hAnsi="Times New Roman" w:eastAsia="宋体" w:cs="Times New Roman"/>
          <w:bCs/>
        </w:rPr>
        <w:t>补充勘察</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_Toc12966 </w:instrText>
      </w:r>
      <w:r>
        <w:rPr>
          <w:rFonts w:hint="default" w:ascii="Times New Roman" w:hAnsi="Times New Roman" w:cs="Times New Roman"/>
        </w:rPr>
        <w:fldChar w:fldCharType="separate"/>
      </w:r>
      <w:r>
        <w:rPr>
          <w:rFonts w:hint="default" w:ascii="Times New Roman" w:hAnsi="Times New Roman" w:cs="Times New Roman"/>
        </w:rPr>
        <w:t>38</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_Toc7994 </w:instrText>
      </w:r>
      <w:r>
        <w:rPr>
          <w:rFonts w:hint="default" w:ascii="Times New Roman" w:hAnsi="Times New Roman" w:cs="Times New Roman"/>
        </w:rPr>
        <w:fldChar w:fldCharType="separate"/>
      </w:r>
      <w:r>
        <w:rPr>
          <w:rFonts w:hint="default" w:ascii="Times New Roman" w:hAnsi="Times New Roman" w:cs="Times New Roman"/>
        </w:rPr>
        <w:t>4.3  既有桩基调查</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_Toc7994 </w:instrText>
      </w:r>
      <w:r>
        <w:rPr>
          <w:rFonts w:hint="default" w:ascii="Times New Roman" w:hAnsi="Times New Roman" w:cs="Times New Roman"/>
        </w:rPr>
        <w:fldChar w:fldCharType="separate"/>
      </w:r>
      <w:r>
        <w:rPr>
          <w:rFonts w:hint="default" w:ascii="Times New Roman" w:hAnsi="Times New Roman" w:cs="Times New Roman"/>
        </w:rPr>
        <w:t>39</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_Toc21319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5  方案制定</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_Toc21319 </w:instrText>
      </w:r>
      <w:r>
        <w:rPr>
          <w:rFonts w:hint="default" w:ascii="Times New Roman" w:hAnsi="Times New Roman" w:cs="Times New Roman"/>
        </w:rPr>
        <w:fldChar w:fldCharType="separate"/>
      </w:r>
      <w:r>
        <w:rPr>
          <w:rFonts w:hint="default" w:ascii="Times New Roman" w:hAnsi="Times New Roman" w:cs="Times New Roman"/>
        </w:rPr>
        <w:t>40</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_Toc5686 </w:instrText>
      </w:r>
      <w:r>
        <w:rPr>
          <w:rFonts w:hint="default" w:ascii="Times New Roman" w:hAnsi="Times New Roman" w:cs="Times New Roman"/>
        </w:rPr>
        <w:fldChar w:fldCharType="separate"/>
      </w:r>
      <w:r>
        <w:rPr>
          <w:rFonts w:hint="default" w:ascii="Times New Roman" w:hAnsi="Times New Roman" w:cs="Times New Roman"/>
        </w:rPr>
        <w:t>5.1</w:t>
      </w:r>
      <w:r>
        <w:rPr>
          <w:rFonts w:hint="default" w:ascii="Times New Roman" w:hAnsi="Times New Roman" w:cs="Times New Roman"/>
          <w:lang w:val="en-US" w:eastAsia="zh-CN"/>
        </w:rPr>
        <w:t xml:space="preserve">  </w:t>
      </w:r>
      <w:r>
        <w:rPr>
          <w:rFonts w:hint="default" w:ascii="Times New Roman" w:hAnsi="Times New Roman" w:eastAsia="宋体" w:cs="Times New Roman"/>
          <w:bCs/>
        </w:rPr>
        <w:t>方案选择</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_Toc5686 </w:instrText>
      </w:r>
      <w:r>
        <w:rPr>
          <w:rFonts w:hint="default" w:ascii="Times New Roman" w:hAnsi="Times New Roman" w:cs="Times New Roman"/>
        </w:rPr>
        <w:fldChar w:fldCharType="separate"/>
      </w:r>
      <w:r>
        <w:rPr>
          <w:rFonts w:hint="default" w:ascii="Times New Roman" w:hAnsi="Times New Roman" w:cs="Times New Roman"/>
        </w:rPr>
        <w:t>40</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_Toc2771 </w:instrText>
      </w:r>
      <w:r>
        <w:rPr>
          <w:rFonts w:hint="default" w:ascii="Times New Roman" w:hAnsi="Times New Roman" w:cs="Times New Roman"/>
        </w:rPr>
        <w:fldChar w:fldCharType="separate"/>
      </w:r>
      <w:r>
        <w:rPr>
          <w:rFonts w:hint="default" w:ascii="Times New Roman" w:hAnsi="Times New Roman" w:cs="Times New Roman"/>
        </w:rPr>
        <w:t xml:space="preserve">5.2 </w:t>
      </w:r>
      <w:r>
        <w:rPr>
          <w:rFonts w:hint="default" w:ascii="Times New Roman" w:hAnsi="Times New Roman" w:eastAsia="宋体" w:cs="Times New Roman"/>
          <w:bCs/>
        </w:rPr>
        <w:t xml:space="preserve"> 清除范围</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_Toc2771 </w:instrText>
      </w:r>
      <w:r>
        <w:rPr>
          <w:rFonts w:hint="default" w:ascii="Times New Roman" w:hAnsi="Times New Roman" w:cs="Times New Roman"/>
        </w:rPr>
        <w:fldChar w:fldCharType="separate"/>
      </w:r>
      <w:r>
        <w:rPr>
          <w:rFonts w:hint="default" w:ascii="Times New Roman" w:hAnsi="Times New Roman" w:cs="Times New Roman"/>
        </w:rPr>
        <w:t>40</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_Toc9387 </w:instrText>
      </w:r>
      <w:r>
        <w:rPr>
          <w:rFonts w:hint="default" w:ascii="Times New Roman" w:hAnsi="Times New Roman" w:cs="Times New Roman"/>
        </w:rPr>
        <w:fldChar w:fldCharType="separate"/>
      </w:r>
      <w:r>
        <w:rPr>
          <w:rFonts w:hint="default" w:ascii="Times New Roman" w:hAnsi="Times New Roman" w:cs="Times New Roman"/>
        </w:rPr>
        <w:t xml:space="preserve">5.3  </w:t>
      </w:r>
      <w:r>
        <w:rPr>
          <w:rFonts w:hint="default" w:ascii="Times New Roman" w:hAnsi="Times New Roman" w:eastAsia="宋体" w:cs="Times New Roman"/>
          <w:bCs/>
        </w:rPr>
        <w:t>分析计算</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_Toc9387 </w:instrText>
      </w:r>
      <w:r>
        <w:rPr>
          <w:rFonts w:hint="default" w:ascii="Times New Roman" w:hAnsi="Times New Roman" w:cs="Times New Roman"/>
        </w:rPr>
        <w:fldChar w:fldCharType="separate"/>
      </w:r>
      <w:r>
        <w:rPr>
          <w:rFonts w:hint="default" w:ascii="Times New Roman" w:hAnsi="Times New Roman" w:cs="Times New Roman"/>
        </w:rPr>
        <w:t>41</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_Toc8263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 xml:space="preserve">6 </w:t>
      </w:r>
      <w:r>
        <w:rPr>
          <w:rFonts w:hint="eastAsia" w:ascii="Times New Roman" w:hAnsi="Times New Roman" w:cs="Times New Roman"/>
          <w:kern w:val="44"/>
          <w:szCs w:val="32"/>
          <w:lang w:val="en-US" w:eastAsia="zh-CN"/>
        </w:rPr>
        <w:t xml:space="preserve"> </w:t>
      </w:r>
      <w:r>
        <w:rPr>
          <w:rFonts w:hint="default" w:ascii="Times New Roman" w:hAnsi="Times New Roman" w:eastAsia="宋体" w:cs="Times New Roman"/>
          <w:kern w:val="44"/>
          <w:szCs w:val="32"/>
        </w:rPr>
        <w:t>施工</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_Toc8263 </w:instrText>
      </w:r>
      <w:r>
        <w:rPr>
          <w:rFonts w:hint="default" w:ascii="Times New Roman" w:hAnsi="Times New Roman" w:cs="Times New Roman"/>
        </w:rPr>
        <w:fldChar w:fldCharType="separate"/>
      </w:r>
      <w:r>
        <w:rPr>
          <w:rFonts w:hint="default" w:ascii="Times New Roman" w:hAnsi="Times New Roman" w:cs="Times New Roman"/>
        </w:rPr>
        <w:t>43</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_Toc373 </w:instrText>
      </w:r>
      <w:r>
        <w:rPr>
          <w:rFonts w:hint="default" w:ascii="Times New Roman" w:hAnsi="Times New Roman" w:cs="Times New Roman"/>
        </w:rPr>
        <w:fldChar w:fldCharType="separate"/>
      </w:r>
      <w:r>
        <w:rPr>
          <w:rFonts w:hint="default" w:ascii="Times New Roman" w:hAnsi="Times New Roman" w:cs="Times New Roman"/>
        </w:rPr>
        <w:t xml:space="preserve">6.1 </w:t>
      </w:r>
      <w:r>
        <w:rPr>
          <w:rFonts w:hint="eastAsia" w:cs="Times New Roman"/>
          <w:lang w:val="en-US" w:eastAsia="zh-CN"/>
        </w:rPr>
        <w:t xml:space="preserve"> </w:t>
      </w:r>
      <w:r>
        <w:rPr>
          <w:rFonts w:hint="default" w:ascii="Times New Roman" w:hAnsi="Times New Roman" w:eastAsia="宋体" w:cs="Times New Roman"/>
          <w:bCs/>
        </w:rPr>
        <w:t>一般规定</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_Toc373 </w:instrText>
      </w:r>
      <w:r>
        <w:rPr>
          <w:rFonts w:hint="default" w:ascii="Times New Roman" w:hAnsi="Times New Roman" w:cs="Times New Roman"/>
        </w:rPr>
        <w:fldChar w:fldCharType="separate"/>
      </w:r>
      <w:r>
        <w:rPr>
          <w:rFonts w:hint="default" w:ascii="Times New Roman" w:hAnsi="Times New Roman" w:cs="Times New Roman"/>
        </w:rPr>
        <w:t>43</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_Toc5019 </w:instrText>
      </w:r>
      <w:r>
        <w:rPr>
          <w:rFonts w:hint="default" w:ascii="Times New Roman" w:hAnsi="Times New Roman" w:cs="Times New Roman"/>
        </w:rPr>
        <w:fldChar w:fldCharType="separate"/>
      </w:r>
      <w:r>
        <w:rPr>
          <w:rFonts w:hint="default" w:ascii="Times New Roman" w:hAnsi="Times New Roman" w:cs="Times New Roman"/>
        </w:rPr>
        <w:t xml:space="preserve">6.2 </w:t>
      </w:r>
      <w:r>
        <w:rPr>
          <w:rFonts w:hint="eastAsia" w:cs="Times New Roman"/>
          <w:lang w:val="en-US" w:eastAsia="zh-CN"/>
        </w:rPr>
        <w:t xml:space="preserve"> </w:t>
      </w:r>
      <w:r>
        <w:rPr>
          <w:rFonts w:hint="default" w:ascii="Times New Roman" w:hAnsi="Times New Roman" w:eastAsia="宋体" w:cs="Times New Roman"/>
          <w:bCs/>
        </w:rPr>
        <w:t>拔除法</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_Toc5019 </w:instrText>
      </w:r>
      <w:r>
        <w:rPr>
          <w:rFonts w:hint="default" w:ascii="Times New Roman" w:hAnsi="Times New Roman" w:cs="Times New Roman"/>
        </w:rPr>
        <w:fldChar w:fldCharType="separate"/>
      </w:r>
      <w:r>
        <w:rPr>
          <w:rFonts w:hint="default" w:ascii="Times New Roman" w:hAnsi="Times New Roman" w:cs="Times New Roman"/>
        </w:rPr>
        <w:t>43</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_Toc26382 </w:instrText>
      </w:r>
      <w:r>
        <w:rPr>
          <w:rFonts w:hint="default" w:ascii="Times New Roman" w:hAnsi="Times New Roman" w:cs="Times New Roman"/>
        </w:rPr>
        <w:fldChar w:fldCharType="separate"/>
      </w:r>
      <w:r>
        <w:rPr>
          <w:rFonts w:hint="default" w:ascii="Times New Roman" w:hAnsi="Times New Roman" w:cs="Times New Roman"/>
        </w:rPr>
        <w:t xml:space="preserve">6.3  </w:t>
      </w:r>
      <w:r>
        <w:rPr>
          <w:rFonts w:hint="default" w:ascii="Times New Roman" w:hAnsi="Times New Roman" w:eastAsia="宋体" w:cs="Times New Roman"/>
          <w:bCs/>
        </w:rPr>
        <w:t>破碎法</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_Toc26382 </w:instrText>
      </w:r>
      <w:r>
        <w:rPr>
          <w:rFonts w:hint="default" w:ascii="Times New Roman" w:hAnsi="Times New Roman" w:cs="Times New Roman"/>
        </w:rPr>
        <w:fldChar w:fldCharType="separate"/>
      </w:r>
      <w:r>
        <w:rPr>
          <w:rFonts w:hint="default" w:ascii="Times New Roman" w:hAnsi="Times New Roman" w:cs="Times New Roman"/>
        </w:rPr>
        <w:t>45</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2"/>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_Toc3634 </w:instrText>
      </w:r>
      <w:r>
        <w:rPr>
          <w:rFonts w:hint="default" w:ascii="Times New Roman" w:hAnsi="Times New Roman" w:cs="Times New Roman"/>
        </w:rPr>
        <w:fldChar w:fldCharType="separate"/>
      </w:r>
      <w:r>
        <w:rPr>
          <w:rFonts w:hint="default" w:ascii="Times New Roman" w:hAnsi="Times New Roman" w:cs="Times New Roman"/>
        </w:rPr>
        <w:t xml:space="preserve">6.5  </w:t>
      </w:r>
      <w:r>
        <w:rPr>
          <w:rFonts w:hint="default" w:ascii="Times New Roman" w:hAnsi="Times New Roman" w:eastAsia="宋体" w:cs="Times New Roman"/>
          <w:bCs/>
        </w:rPr>
        <w:t>桩孔处理</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_Toc3634 </w:instrText>
      </w:r>
      <w:r>
        <w:rPr>
          <w:rFonts w:hint="default" w:ascii="Times New Roman" w:hAnsi="Times New Roman" w:cs="Times New Roman"/>
        </w:rPr>
        <w:fldChar w:fldCharType="separate"/>
      </w:r>
      <w:r>
        <w:rPr>
          <w:rFonts w:hint="default" w:ascii="Times New Roman" w:hAnsi="Times New Roman" w:cs="Times New Roman"/>
        </w:rPr>
        <w:t>46</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pStyle w:val="11"/>
        <w:tabs>
          <w:tab w:val="right" w:leader="dot" w:pos="5669"/>
        </w:tabs>
        <w:rPr>
          <w:rFonts w:hint="default" w:ascii="Times New Roman" w:hAnsi="Times New Roman" w:cs="Times New Roman"/>
        </w:rPr>
      </w:pPr>
      <w:r>
        <w:rPr>
          <w:rFonts w:hint="default" w:ascii="Times New Roman" w:hAnsi="Times New Roman" w:cs="Times New Roman"/>
          <w:color w:val="323232" w:themeColor="text1"/>
          <w14:textFill>
            <w14:solidFill>
              <w14:schemeClr w14:val="tx1"/>
            </w14:solidFill>
          </w14:textFill>
        </w:rPr>
        <w:fldChar w:fldCharType="begin"/>
      </w:r>
      <w:r>
        <w:rPr>
          <w:rFonts w:hint="default" w:ascii="Times New Roman" w:hAnsi="Times New Roman" w:cs="Times New Roman"/>
        </w:rPr>
        <w:instrText xml:space="preserve"> HYPERLINK \l _Toc14012 </w:instrText>
      </w:r>
      <w:r>
        <w:rPr>
          <w:rFonts w:hint="default" w:ascii="Times New Roman" w:hAnsi="Times New Roman" w:cs="Times New Roman"/>
        </w:rPr>
        <w:fldChar w:fldCharType="separate"/>
      </w:r>
      <w:r>
        <w:rPr>
          <w:rFonts w:hint="default" w:ascii="Times New Roman" w:hAnsi="Times New Roman" w:eastAsia="宋体" w:cs="Times New Roman"/>
          <w:kern w:val="44"/>
          <w:szCs w:val="32"/>
        </w:rPr>
        <w:t>7 检验与验收</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_Toc14012 </w:instrText>
      </w:r>
      <w:r>
        <w:rPr>
          <w:rFonts w:hint="default" w:ascii="Times New Roman" w:hAnsi="Times New Roman" w:cs="Times New Roman"/>
        </w:rPr>
        <w:fldChar w:fldCharType="separate"/>
      </w:r>
      <w:r>
        <w:rPr>
          <w:rFonts w:hint="default" w:ascii="Times New Roman" w:hAnsi="Times New Roman" w:cs="Times New Roman"/>
        </w:rPr>
        <w:t>47</w:t>
      </w:r>
      <w:r>
        <w:rPr>
          <w:rFonts w:hint="default" w:ascii="Times New Roman" w:hAnsi="Times New Roman" w:cs="Times New Roman"/>
        </w:rPr>
        <w:fldChar w:fldCharType="end"/>
      </w:r>
      <w:r>
        <w:rPr>
          <w:rFonts w:hint="default" w:ascii="Times New Roman" w:hAnsi="Times New Roman" w:cs="Times New Roman"/>
          <w:color w:val="323232" w:themeColor="text1"/>
          <w14:textFill>
            <w14:solidFill>
              <w14:schemeClr w14:val="tx1"/>
            </w14:solidFill>
          </w14:textFill>
        </w:rPr>
        <w:fldChar w:fldCharType="end"/>
      </w:r>
    </w:p>
    <w:p>
      <w:pPr>
        <w:snapToGrid w:val="0"/>
        <w:spacing w:line="360" w:lineRule="auto"/>
        <w:rPr>
          <w:rFonts w:hint="default"/>
          <w:color w:val="323232" w:themeColor="text1"/>
          <w14:textFill>
            <w14:solidFill>
              <w14:schemeClr w14:val="tx1"/>
            </w14:solidFill>
          </w14:textFill>
        </w:rPr>
      </w:pPr>
      <w:r>
        <w:rPr>
          <w:rFonts w:hint="default" w:ascii="Times New Roman" w:hAnsi="Times New Roman" w:cs="Times New Roman"/>
          <w:color w:val="323232" w:themeColor="text1"/>
          <w14:textFill>
            <w14:solidFill>
              <w14:schemeClr w14:val="tx1"/>
            </w14:solidFill>
          </w14:textFill>
        </w:rPr>
        <w:fldChar w:fldCharType="end"/>
      </w:r>
    </w:p>
    <w:p>
      <w:pPr>
        <w:snapToGrid w:val="0"/>
        <w:spacing w:beforeLines="0" w:afterLines="0" w:line="360" w:lineRule="auto"/>
        <w:outlineLvl w:val="0"/>
        <w:rPr>
          <w:rFonts w:eastAsia="黑体"/>
          <w:color w:val="323232" w:themeColor="text1"/>
          <w:kern w:val="44"/>
          <w:sz w:val="32"/>
          <w:szCs w:val="32"/>
          <w14:textFill>
            <w14:solidFill>
              <w14:schemeClr w14:val="tx1"/>
            </w14:solidFill>
          </w14:textFill>
        </w:rPr>
      </w:pPr>
      <w:r>
        <w:rPr>
          <w:rFonts w:hint="eastAsia"/>
          <w:szCs w:val="21"/>
        </w:rPr>
        <w:br w:type="page"/>
      </w:r>
      <w:bookmarkStart w:id="657" w:name="_Toc19929"/>
      <w:r>
        <w:rPr>
          <w:rFonts w:hint="eastAsia"/>
          <w:szCs w:val="21"/>
        </w:rPr>
        <w:t xml:space="preserve">              </w:t>
      </w:r>
      <w:r>
        <w:rPr>
          <w:rFonts w:hint="eastAsia" w:eastAsia="黑体"/>
          <w:color w:val="323232" w:themeColor="text1"/>
          <w:kern w:val="44"/>
          <w:sz w:val="32"/>
          <w:szCs w:val="32"/>
          <w14:textFill>
            <w14:solidFill>
              <w14:schemeClr w14:val="tx1"/>
            </w14:solidFill>
          </w14:textFill>
        </w:rPr>
        <w:t xml:space="preserve">  </w:t>
      </w:r>
      <w:bookmarkStart w:id="658" w:name="_Toc13254"/>
      <w:bookmarkStart w:id="659" w:name="_Toc18567"/>
      <w:bookmarkStart w:id="660" w:name="_Toc5536"/>
      <w:bookmarkStart w:id="661" w:name="_Toc29053"/>
      <w:r>
        <w:rPr>
          <w:rFonts w:hint="eastAsia" w:eastAsia="黑体"/>
          <w:color w:val="323232" w:themeColor="text1"/>
          <w:kern w:val="44"/>
          <w:sz w:val="32"/>
          <w:szCs w:val="32"/>
          <w14:textFill>
            <w14:solidFill>
              <w14:schemeClr w14:val="tx1"/>
            </w14:solidFill>
          </w14:textFill>
        </w:rPr>
        <w:t xml:space="preserve">1  </w:t>
      </w:r>
      <w:r>
        <w:rPr>
          <w:rFonts w:eastAsia="黑体"/>
          <w:color w:val="323232" w:themeColor="text1"/>
          <w:kern w:val="44"/>
          <w:sz w:val="32"/>
          <w:szCs w:val="32"/>
          <w14:textFill>
            <w14:solidFill>
              <w14:schemeClr w14:val="tx1"/>
            </w14:solidFill>
          </w14:textFill>
        </w:rPr>
        <w:t xml:space="preserve">  </w:t>
      </w:r>
      <w:r>
        <w:rPr>
          <w:rFonts w:hint="eastAsia" w:eastAsia="黑体"/>
          <w:color w:val="323232" w:themeColor="text1"/>
          <w:kern w:val="44"/>
          <w:sz w:val="32"/>
          <w:szCs w:val="32"/>
          <w14:textFill>
            <w14:solidFill>
              <w14:schemeClr w14:val="tx1"/>
            </w14:solidFill>
          </w14:textFill>
        </w:rPr>
        <w:t>总</w:t>
      </w:r>
      <w:r>
        <w:rPr>
          <w:rFonts w:eastAsia="黑体"/>
          <w:color w:val="323232" w:themeColor="text1"/>
          <w:kern w:val="44"/>
          <w:sz w:val="32"/>
          <w:szCs w:val="32"/>
          <w14:textFill>
            <w14:solidFill>
              <w14:schemeClr w14:val="tx1"/>
            </w14:solidFill>
          </w14:textFill>
        </w:rPr>
        <w:t xml:space="preserve">  </w:t>
      </w:r>
      <w:r>
        <w:rPr>
          <w:rFonts w:hint="eastAsia" w:eastAsia="黑体"/>
          <w:color w:val="323232" w:themeColor="text1"/>
          <w:kern w:val="44"/>
          <w:sz w:val="32"/>
          <w:szCs w:val="32"/>
          <w14:textFill>
            <w14:solidFill>
              <w14:schemeClr w14:val="tx1"/>
            </w14:solidFill>
          </w14:textFill>
        </w:rPr>
        <w:t>则</w:t>
      </w:r>
      <w:bookmarkEnd w:id="658"/>
      <w:bookmarkEnd w:id="659"/>
      <w:bookmarkEnd w:id="660"/>
      <w:bookmarkEnd w:id="661"/>
    </w:p>
    <w:p>
      <w:pPr>
        <w:snapToGrid w:val="0"/>
        <w:spacing w:line="348" w:lineRule="auto"/>
        <w:rPr>
          <w:szCs w:val="21"/>
        </w:rPr>
      </w:pPr>
      <w:r>
        <w:rPr>
          <w:b/>
          <w:bCs/>
          <w:szCs w:val="21"/>
        </w:rPr>
        <w:t xml:space="preserve">1.0.1~1.0.4  </w:t>
      </w:r>
      <w:r>
        <w:rPr>
          <w:rFonts w:hint="eastAsia"/>
          <w:szCs w:val="21"/>
        </w:rPr>
        <w:t>近年来，随着国民经济飞速发展，在日新月异的城市改造、市政建设、轨道交通建设、桥梁改建以及新区开发建设中经常会遇到地下残留的废弃桩基，如预制桩、灌注桩等需要清除，它们往往成为地下工程施工的棘手难题，轻则造成改线改址或重新设计、部分施工半途而废，直接影响工程的施工进度与质量，重则造成供水、煤气泄漏爆炸或电缆挖断中止供电的重大事故。为使建设工程顺利进行，必须在不影响周围基础设施环境的原则上将废弃桩基清除。既有桩基能否安全顺利的清除直接影响到建设工程的质量和安全。</w:t>
      </w:r>
    </w:p>
    <w:p>
      <w:pPr>
        <w:snapToGrid w:val="0"/>
        <w:spacing w:line="348" w:lineRule="auto"/>
        <w:ind w:firstLine="420" w:firstLineChars="200"/>
        <w:rPr>
          <w:szCs w:val="21"/>
        </w:rPr>
      </w:pPr>
      <w:r>
        <w:rPr>
          <w:rFonts w:hint="eastAsia"/>
          <w:szCs w:val="21"/>
        </w:rPr>
        <w:t>针对现在国家和地方还没有相应规范对既有桩基清除设计和施工等相关内容做出相应的规定，因此有必要制定福建省的地方标准。</w:t>
      </w:r>
    </w:p>
    <w:p>
      <w:pPr>
        <w:spacing w:line="348" w:lineRule="auto"/>
        <w:ind w:firstLine="420" w:firstLineChars="200"/>
        <w:rPr>
          <w:szCs w:val="21"/>
        </w:rPr>
      </w:pPr>
      <w:r>
        <w:rPr>
          <w:rFonts w:hint="eastAsia"/>
          <w:szCs w:val="21"/>
        </w:rPr>
        <w:t>本标准编制组收集和研究了国内外既有桩基清除领域已取得的研究成果，总结近年来福建省在既有桩基清除技术方面的工程经验，有针对性地提出了适用于福建省既有桩基清除的技术标准。本标准力求解决近年来我省在既有桩基清除中出现的一些共性问题，总结和推广近年来所取得的经验，以推动我省既有桩基清除领域的技术进步。</w:t>
      </w:r>
    </w:p>
    <w:p>
      <w:pPr>
        <w:spacing w:line="348" w:lineRule="auto"/>
        <w:ind w:firstLine="420" w:firstLineChars="200"/>
        <w:rPr>
          <w:szCs w:val="21"/>
        </w:rPr>
      </w:pPr>
      <w:r>
        <w:rPr>
          <w:rFonts w:hint="eastAsia"/>
          <w:szCs w:val="21"/>
        </w:rPr>
        <w:t>当采用未列入本标准的新技术、新工艺、新设备时，必须制定不低于本标准水平的质量标准和工艺要求，并经有关部门批准后方可实施。</w:t>
      </w:r>
    </w:p>
    <w:p>
      <w:pPr>
        <w:widowControl/>
        <w:jc w:val="left"/>
        <w:rPr>
          <w:sz w:val="24"/>
        </w:rPr>
      </w:pP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662" w:name="_Toc20920"/>
      <w:bookmarkStart w:id="663" w:name="_Toc29079"/>
      <w:bookmarkStart w:id="664" w:name="_Toc15086"/>
      <w:bookmarkStart w:id="665" w:name="_Toc10031"/>
      <w:bookmarkStart w:id="666" w:name="_Toc26090"/>
      <w:bookmarkStart w:id="667" w:name="_Toc22166"/>
      <w:bookmarkStart w:id="668" w:name="_Toc4690"/>
      <w:bookmarkStart w:id="669" w:name="_Toc7273"/>
      <w:bookmarkStart w:id="670" w:name="_Toc2319"/>
      <w:bookmarkStart w:id="671" w:name="_Toc25156"/>
      <w:r>
        <w:rPr>
          <w:rFonts w:eastAsia="黑体"/>
          <w:color w:val="323232" w:themeColor="text1"/>
          <w:kern w:val="44"/>
          <w:sz w:val="32"/>
          <w:szCs w:val="32"/>
          <w14:textFill>
            <w14:solidFill>
              <w14:schemeClr w14:val="tx1"/>
            </w14:solidFill>
          </w14:textFill>
        </w:rPr>
        <w:t xml:space="preserve">2  </w:t>
      </w:r>
      <w:r>
        <w:rPr>
          <w:rFonts w:hint="eastAsia" w:eastAsia="黑体"/>
          <w:color w:val="323232" w:themeColor="text1"/>
          <w:kern w:val="44"/>
          <w:sz w:val="32"/>
          <w:szCs w:val="32"/>
          <w14:textFill>
            <w14:solidFill>
              <w14:schemeClr w14:val="tx1"/>
            </w14:solidFill>
          </w14:textFill>
        </w:rPr>
        <w:t>术语和符号</w:t>
      </w:r>
      <w:bookmarkEnd w:id="662"/>
      <w:bookmarkEnd w:id="663"/>
      <w:bookmarkEnd w:id="664"/>
      <w:bookmarkEnd w:id="665"/>
      <w:bookmarkEnd w:id="666"/>
      <w:bookmarkEnd w:id="667"/>
      <w:bookmarkEnd w:id="668"/>
      <w:bookmarkEnd w:id="669"/>
      <w:bookmarkEnd w:id="670"/>
      <w:bookmarkEnd w:id="671"/>
    </w:p>
    <w:p>
      <w:pPr>
        <w:pStyle w:val="3"/>
      </w:pPr>
      <w:bookmarkStart w:id="672" w:name="_Toc24355"/>
      <w:bookmarkStart w:id="673" w:name="_Toc19408"/>
      <w:bookmarkStart w:id="674" w:name="_Toc22870"/>
      <w:bookmarkStart w:id="675" w:name="_Toc9059"/>
      <w:bookmarkStart w:id="676" w:name="_Toc16390"/>
      <w:bookmarkStart w:id="677" w:name="_Toc7297"/>
      <w:bookmarkStart w:id="678" w:name="_Toc6914"/>
      <w:bookmarkStart w:id="679" w:name="_Toc25632"/>
      <w:bookmarkStart w:id="680" w:name="_Toc29265"/>
      <w:bookmarkStart w:id="681" w:name="_Toc16019"/>
      <w:r>
        <w:rPr>
          <w:rFonts w:ascii="Times New Roman" w:hAnsi="Times New Roman"/>
        </w:rPr>
        <w:t xml:space="preserve">2.1 </w:t>
      </w:r>
      <w:r>
        <w:t xml:space="preserve"> </w:t>
      </w:r>
      <w:r>
        <w:rPr>
          <w:rFonts w:hint="eastAsia" w:ascii="黑体" w:hAnsi="黑体" w:eastAsia="黑体" w:cs="黑体"/>
          <w:b w:val="0"/>
          <w:bCs/>
          <w:color w:val="000000"/>
        </w:rPr>
        <w:t>术  语</w:t>
      </w:r>
      <w:bookmarkEnd w:id="672"/>
      <w:bookmarkEnd w:id="673"/>
      <w:bookmarkEnd w:id="674"/>
      <w:bookmarkEnd w:id="675"/>
      <w:bookmarkEnd w:id="676"/>
      <w:bookmarkEnd w:id="677"/>
      <w:bookmarkEnd w:id="678"/>
      <w:bookmarkEnd w:id="679"/>
      <w:bookmarkEnd w:id="680"/>
      <w:bookmarkEnd w:id="681"/>
    </w:p>
    <w:p>
      <w:pPr>
        <w:spacing w:line="360" w:lineRule="auto"/>
        <w:rPr>
          <w:szCs w:val="21"/>
        </w:rPr>
      </w:pPr>
      <w:r>
        <w:rPr>
          <w:b/>
          <w:bCs/>
          <w:szCs w:val="21"/>
        </w:rPr>
        <w:t xml:space="preserve">2.1.1 </w:t>
      </w:r>
      <w:r>
        <w:rPr>
          <w:szCs w:val="21"/>
        </w:rPr>
        <w:t xml:space="preserve"> </w:t>
      </w:r>
      <w:r>
        <w:rPr>
          <w:rFonts w:hint="eastAsia"/>
          <w:szCs w:val="21"/>
        </w:rPr>
        <w:t>包括场地的原有桩基和因设计变更、质量问题等原因需要清除的新近施工桩基。</w:t>
      </w:r>
    </w:p>
    <w:p>
      <w:pPr>
        <w:spacing w:line="360" w:lineRule="auto"/>
        <w:rPr>
          <w:szCs w:val="21"/>
        </w:rPr>
      </w:pPr>
      <w:r>
        <w:rPr>
          <w:b/>
          <w:bCs/>
          <w:szCs w:val="21"/>
        </w:rPr>
        <w:t xml:space="preserve">2.1.2 </w:t>
      </w:r>
      <w:r>
        <w:rPr>
          <w:szCs w:val="21"/>
        </w:rPr>
        <w:t xml:space="preserve"> </w:t>
      </w:r>
      <w:r>
        <w:rPr>
          <w:rFonts w:hint="eastAsia"/>
          <w:szCs w:val="21"/>
        </w:rPr>
        <w:t>平面上可以整片清除或局部清除，深度上可以整根清除也可以部分清除。</w:t>
      </w:r>
    </w:p>
    <w:p>
      <w:pPr>
        <w:snapToGrid w:val="0"/>
        <w:spacing w:line="360" w:lineRule="auto"/>
        <w:rPr>
          <w:sz w:val="24"/>
        </w:rPr>
      </w:pPr>
    </w:p>
    <w:p>
      <w:pPr>
        <w:widowControl/>
        <w:jc w:val="left"/>
        <w:rPr>
          <w:sz w:val="24"/>
        </w:rPr>
      </w:pPr>
      <w:r>
        <w:rPr>
          <w:sz w:val="24"/>
        </w:rPr>
        <w:br w:type="page"/>
      </w: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682" w:name="_Toc6612"/>
      <w:bookmarkStart w:id="683" w:name="_Toc24524"/>
      <w:bookmarkStart w:id="684" w:name="_Toc25036"/>
      <w:bookmarkStart w:id="685" w:name="_Toc22763"/>
      <w:bookmarkStart w:id="686" w:name="_Toc8742"/>
      <w:bookmarkStart w:id="687" w:name="_Toc11044"/>
      <w:bookmarkStart w:id="688" w:name="_Toc28901"/>
      <w:bookmarkStart w:id="689" w:name="_Toc21334"/>
      <w:bookmarkStart w:id="690" w:name="_Toc4259"/>
      <w:bookmarkStart w:id="691" w:name="_Toc19296"/>
      <w:r>
        <w:rPr>
          <w:rFonts w:eastAsia="黑体"/>
          <w:color w:val="323232" w:themeColor="text1"/>
          <w:kern w:val="44"/>
          <w:sz w:val="32"/>
          <w:szCs w:val="32"/>
          <w14:textFill>
            <w14:solidFill>
              <w14:schemeClr w14:val="tx1"/>
            </w14:solidFill>
          </w14:textFill>
        </w:rPr>
        <w:t xml:space="preserve">3  </w:t>
      </w:r>
      <w:r>
        <w:rPr>
          <w:rFonts w:hint="eastAsia" w:eastAsia="黑体"/>
          <w:color w:val="323232" w:themeColor="text1"/>
          <w:kern w:val="44"/>
          <w:sz w:val="32"/>
          <w:szCs w:val="32"/>
          <w14:textFill>
            <w14:solidFill>
              <w14:schemeClr w14:val="tx1"/>
            </w14:solidFill>
          </w14:textFill>
        </w:rPr>
        <w:t>基本规定</w:t>
      </w:r>
      <w:bookmarkEnd w:id="682"/>
      <w:bookmarkEnd w:id="683"/>
      <w:bookmarkEnd w:id="684"/>
      <w:bookmarkEnd w:id="685"/>
      <w:bookmarkEnd w:id="686"/>
      <w:bookmarkEnd w:id="687"/>
      <w:bookmarkEnd w:id="688"/>
      <w:bookmarkEnd w:id="689"/>
      <w:bookmarkEnd w:id="690"/>
      <w:bookmarkEnd w:id="691"/>
    </w:p>
    <w:p>
      <w:pPr>
        <w:spacing w:line="360" w:lineRule="auto"/>
        <w:rPr>
          <w:szCs w:val="21"/>
        </w:rPr>
      </w:pPr>
      <w:r>
        <w:rPr>
          <w:b/>
          <w:bCs/>
          <w:szCs w:val="21"/>
        </w:rPr>
        <w:t xml:space="preserve">3.0.2 </w:t>
      </w:r>
      <w:r>
        <w:rPr>
          <w:szCs w:val="21"/>
        </w:rPr>
        <w:t xml:space="preserve"> </w:t>
      </w:r>
      <w:r>
        <w:rPr>
          <w:rFonts w:hint="eastAsia"/>
          <w:szCs w:val="21"/>
        </w:rPr>
        <w:t>这些准备工作的目的为确定既有桩基清除范围和方法提供依据。</w:t>
      </w:r>
    </w:p>
    <w:p>
      <w:pPr>
        <w:spacing w:line="360" w:lineRule="auto"/>
        <w:rPr>
          <w:szCs w:val="21"/>
        </w:rPr>
      </w:pPr>
      <w:r>
        <w:rPr>
          <w:b/>
          <w:bCs/>
          <w:szCs w:val="21"/>
        </w:rPr>
        <w:t xml:space="preserve">3.0.5  </w:t>
      </w:r>
      <w:r>
        <w:rPr>
          <w:rFonts w:hint="eastAsia"/>
          <w:szCs w:val="21"/>
        </w:rPr>
        <w:t>通过现场试清除，可评价选用的清除方法的适用性，确定清除方法的相关工艺控制参数等。</w:t>
      </w:r>
    </w:p>
    <w:p>
      <w:pPr>
        <w:widowControl/>
        <w:jc w:val="left"/>
        <w:rPr>
          <w:szCs w:val="21"/>
        </w:rPr>
      </w:pPr>
      <w:r>
        <w:rPr>
          <w:szCs w:val="21"/>
        </w:rPr>
        <w:br w:type="page"/>
      </w: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692" w:name="_Toc2700"/>
      <w:bookmarkStart w:id="693" w:name="_Toc10035"/>
      <w:bookmarkStart w:id="694" w:name="_Toc6695"/>
      <w:bookmarkStart w:id="695" w:name="_Toc1674"/>
      <w:bookmarkStart w:id="696" w:name="_Toc11681"/>
      <w:bookmarkStart w:id="697" w:name="_Toc27765"/>
      <w:bookmarkStart w:id="698" w:name="_Toc23606"/>
      <w:bookmarkStart w:id="699" w:name="_Toc9979"/>
      <w:bookmarkStart w:id="700" w:name="_Toc21885"/>
      <w:bookmarkStart w:id="701" w:name="_Toc2015"/>
      <w:r>
        <w:rPr>
          <w:rFonts w:eastAsia="黑体"/>
          <w:color w:val="323232" w:themeColor="text1"/>
          <w:kern w:val="44"/>
          <w:sz w:val="32"/>
          <w:szCs w:val="32"/>
          <w14:textFill>
            <w14:solidFill>
              <w14:schemeClr w14:val="tx1"/>
            </w14:solidFill>
          </w14:textFill>
        </w:rPr>
        <w:t xml:space="preserve">4  </w:t>
      </w:r>
      <w:r>
        <w:rPr>
          <w:rFonts w:hint="eastAsia" w:eastAsia="黑体"/>
          <w:color w:val="323232" w:themeColor="text1"/>
          <w:kern w:val="44"/>
          <w:sz w:val="32"/>
          <w:szCs w:val="32"/>
          <w14:textFill>
            <w14:solidFill>
              <w14:schemeClr w14:val="tx1"/>
            </w14:solidFill>
          </w14:textFill>
        </w:rPr>
        <w:t>工程勘察</w:t>
      </w:r>
      <w:bookmarkEnd w:id="692"/>
      <w:bookmarkEnd w:id="693"/>
      <w:bookmarkEnd w:id="694"/>
      <w:bookmarkEnd w:id="695"/>
      <w:bookmarkEnd w:id="696"/>
      <w:bookmarkEnd w:id="697"/>
      <w:bookmarkEnd w:id="698"/>
      <w:bookmarkEnd w:id="699"/>
      <w:bookmarkEnd w:id="700"/>
      <w:bookmarkEnd w:id="701"/>
    </w:p>
    <w:p>
      <w:pPr>
        <w:pStyle w:val="3"/>
        <w:rPr>
          <w:rFonts w:ascii="黑体" w:hAnsi="黑体" w:eastAsia="黑体" w:cs="黑体"/>
          <w:b w:val="0"/>
          <w:bCs/>
          <w:color w:val="000000"/>
        </w:rPr>
      </w:pPr>
      <w:bookmarkStart w:id="702" w:name="_Toc1124"/>
      <w:bookmarkStart w:id="703" w:name="_Toc19745"/>
      <w:bookmarkStart w:id="704" w:name="_Toc25059"/>
      <w:bookmarkStart w:id="705" w:name="_Toc10335"/>
      <w:bookmarkStart w:id="706" w:name="_Toc8561"/>
      <w:bookmarkStart w:id="707" w:name="_Toc10620"/>
      <w:bookmarkStart w:id="708" w:name="_Toc24433"/>
      <w:bookmarkStart w:id="709" w:name="_Toc15939"/>
      <w:bookmarkStart w:id="710" w:name="_Toc18469"/>
      <w:bookmarkStart w:id="711" w:name="_Toc11477"/>
      <w:r>
        <w:rPr>
          <w:rFonts w:ascii="Times New Roman" w:hAnsi="Times New Roman"/>
          <w:color w:val="323232" w:themeColor="text1"/>
          <w14:textFill>
            <w14:solidFill>
              <w14:schemeClr w14:val="tx1"/>
            </w14:solidFill>
          </w14:textFill>
        </w:rPr>
        <w:t xml:space="preserve">4.1 </w:t>
      </w:r>
      <w:r>
        <w:rPr>
          <w:color w:val="323232" w:themeColor="text1"/>
          <w14:textFill>
            <w14:solidFill>
              <w14:schemeClr w14:val="tx1"/>
            </w14:solidFill>
          </w14:textFill>
        </w:rPr>
        <w:t xml:space="preserve"> </w:t>
      </w:r>
      <w:r>
        <w:rPr>
          <w:rFonts w:hint="eastAsia" w:ascii="黑体" w:hAnsi="黑体" w:eastAsia="黑体" w:cs="黑体"/>
          <w:b w:val="0"/>
          <w:bCs/>
          <w:color w:val="000000"/>
        </w:rPr>
        <w:t>一般规定</w:t>
      </w:r>
      <w:bookmarkEnd w:id="702"/>
      <w:bookmarkEnd w:id="703"/>
      <w:bookmarkEnd w:id="704"/>
      <w:bookmarkEnd w:id="705"/>
      <w:bookmarkEnd w:id="706"/>
      <w:bookmarkEnd w:id="707"/>
      <w:bookmarkEnd w:id="708"/>
      <w:bookmarkEnd w:id="709"/>
      <w:bookmarkEnd w:id="710"/>
      <w:bookmarkEnd w:id="711"/>
    </w:p>
    <w:p>
      <w:pPr>
        <w:spacing w:line="360" w:lineRule="auto"/>
        <w:rPr>
          <w:rFonts w:hint="eastAsia"/>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4.1.1  </w:t>
      </w:r>
      <w:r>
        <w:rPr>
          <w:rFonts w:hint="eastAsia"/>
          <w:color w:val="323232" w:themeColor="text1"/>
          <w:szCs w:val="21"/>
          <w14:textFill>
            <w14:solidFill>
              <w14:schemeClr w14:val="tx1"/>
            </w14:solidFill>
          </w14:textFill>
        </w:rPr>
        <w:t>本节适用于已确定采用既有桩基清除方案时的勘察工作。本条是对既有桩基清除勘察内容的总要求。</w:t>
      </w:r>
    </w:p>
    <w:p>
      <w:pPr>
        <w:spacing w:line="360" w:lineRule="auto"/>
        <w:ind w:firstLine="48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本条第</w:t>
      </w:r>
      <w:r>
        <w:rPr>
          <w:color w:val="323232" w:themeColor="text1"/>
          <w:szCs w:val="21"/>
          <w14:textFill>
            <w14:solidFill>
              <w14:schemeClr w14:val="tx1"/>
            </w14:solidFill>
          </w14:textFill>
        </w:rPr>
        <w:t>3</w:t>
      </w:r>
      <w:r>
        <w:rPr>
          <w:rFonts w:hint="eastAsia"/>
          <w:color w:val="323232" w:themeColor="text1"/>
          <w:szCs w:val="21"/>
          <w14:textFill>
            <w14:solidFill>
              <w14:schemeClr w14:val="tx1"/>
            </w14:solidFill>
          </w14:textFill>
        </w:rPr>
        <w:t>款，查明既有桩基现状，包括位置、数量、材料及性能、截面尺寸、桩顶埋深、桩长、成桩工艺、承载历史等，除通过钻探、井探手段外，尚可根据具体情况辅以桩位图、现场外露桩头、物探等方法。</w:t>
      </w:r>
    </w:p>
    <w:p>
      <w:pPr>
        <w:spacing w:line="360" w:lineRule="auto"/>
        <w:ind w:firstLine="480"/>
        <w:rPr>
          <w:b/>
          <w:bCs/>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本条第</w:t>
      </w:r>
      <w:r>
        <w:rPr>
          <w:color w:val="323232" w:themeColor="text1"/>
          <w:szCs w:val="21"/>
          <w14:textFill>
            <w14:solidFill>
              <w14:schemeClr w14:val="tx1"/>
            </w14:solidFill>
          </w14:textFill>
        </w:rPr>
        <w:t>4</w:t>
      </w:r>
      <w:r>
        <w:rPr>
          <w:rFonts w:hint="eastAsia"/>
          <w:color w:val="323232" w:themeColor="text1"/>
          <w:szCs w:val="21"/>
          <w14:textFill>
            <w14:solidFill>
              <w14:schemeClr w14:val="tx1"/>
            </w14:solidFill>
          </w14:textFill>
        </w:rPr>
        <w:t>款，提供满足桩基清除计算、施工所需的岩土参数，可参照原地勘资料、原桩基设计图纸，以及后期的补充勘察资料推算。</w:t>
      </w:r>
    </w:p>
    <w:p>
      <w:pPr>
        <w:pStyle w:val="3"/>
        <w:rPr>
          <w:rFonts w:ascii="Times New Roman" w:hAnsi="Times New Roman"/>
          <w:color w:val="323232" w:themeColor="text1"/>
          <w14:textFill>
            <w14:solidFill>
              <w14:schemeClr w14:val="tx1"/>
            </w14:solidFill>
          </w14:textFill>
        </w:rPr>
      </w:pPr>
      <w:bookmarkStart w:id="712" w:name="_Toc20427"/>
      <w:bookmarkStart w:id="713" w:name="_Toc18554"/>
      <w:bookmarkStart w:id="714" w:name="_Toc1924"/>
      <w:bookmarkStart w:id="715" w:name="_Toc1814"/>
      <w:bookmarkStart w:id="716" w:name="_Toc20498"/>
      <w:bookmarkStart w:id="717" w:name="_Toc12965"/>
      <w:bookmarkStart w:id="718" w:name="_Toc32042"/>
      <w:bookmarkStart w:id="719" w:name="_Toc18330"/>
      <w:bookmarkStart w:id="720" w:name="_Toc12966"/>
      <w:bookmarkStart w:id="721" w:name="_Toc26183"/>
      <w:r>
        <w:rPr>
          <w:rFonts w:ascii="Times New Roman" w:hAnsi="Times New Roman"/>
          <w:color w:val="323232" w:themeColor="text1"/>
          <w14:textFill>
            <w14:solidFill>
              <w14:schemeClr w14:val="tx1"/>
            </w14:solidFill>
          </w14:textFill>
        </w:rPr>
        <w:t xml:space="preserve">4.2  </w:t>
      </w:r>
      <w:r>
        <w:rPr>
          <w:rFonts w:hint="eastAsia" w:ascii="黑体" w:hAnsi="黑体" w:eastAsia="黑体" w:cs="黑体"/>
          <w:b w:val="0"/>
          <w:bCs/>
          <w:color w:val="000000"/>
        </w:rPr>
        <w:t>补充勘察</w:t>
      </w:r>
      <w:bookmarkEnd w:id="712"/>
      <w:bookmarkEnd w:id="713"/>
      <w:bookmarkEnd w:id="714"/>
      <w:bookmarkEnd w:id="715"/>
      <w:bookmarkEnd w:id="716"/>
      <w:bookmarkEnd w:id="717"/>
      <w:bookmarkEnd w:id="718"/>
      <w:bookmarkEnd w:id="719"/>
      <w:bookmarkEnd w:id="720"/>
      <w:bookmarkEnd w:id="721"/>
    </w:p>
    <w:p>
      <w:pPr>
        <w:spacing w:line="360" w:lineRule="auto"/>
        <w:rPr>
          <w:szCs w:val="21"/>
        </w:rPr>
      </w:pPr>
      <w:r>
        <w:rPr>
          <w:b/>
          <w:bCs/>
          <w:color w:val="323232" w:themeColor="text1"/>
          <w:szCs w:val="21"/>
          <w14:textFill>
            <w14:solidFill>
              <w14:schemeClr w14:val="tx1"/>
            </w14:solidFill>
          </w14:textFill>
        </w:rPr>
        <w:t>4.2.1-4.2.2</w:t>
      </w:r>
      <w:r>
        <w:rPr>
          <w:rFonts w:hint="eastAsia"/>
        </w:rPr>
        <w:t>验证收集到的原有勘察资料，可通过查验既有桩基成孔成桩施工记录、基桩检测报告等；进一步的现场验证，可选择有代表性的点位勘探，</w:t>
      </w:r>
      <w:r>
        <w:rPr>
          <w:rFonts w:hint="eastAsia"/>
          <w:szCs w:val="21"/>
        </w:rPr>
        <w:t>勘探孔深度应达到验证目的并满足设计要求，一般不小于原勘察报告体现的钻孔深度且不小于拟建项目设计要求的深度；若符合性较差则应扩大验证数量和范围；若确认勘察资料偏差较大或者缺失，则需补充勘察。</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4.2.3</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勘探点间距取决于岩土条件的复杂程度及所收集到前期资料的完整程度。复杂地基或者所收集前期资料不完善，勘探点应适当加密。</w:t>
      </w:r>
    </w:p>
    <w:p>
      <w:pPr>
        <w:widowControl/>
        <w:jc w:val="left"/>
        <w:rPr>
          <w:rFonts w:ascii="宋体" w:hAnsi="宋体" w:cs="宋体"/>
          <w:kern w:val="0"/>
          <w:sz w:val="24"/>
        </w:rPr>
      </w:pPr>
      <w:r>
        <w:rPr>
          <w:b/>
          <w:bCs/>
          <w:color w:val="323232" w:themeColor="text1"/>
          <w:szCs w:val="21"/>
          <w14:textFill>
            <w14:solidFill>
              <w14:schemeClr w14:val="tx1"/>
            </w14:solidFill>
          </w14:textFill>
        </w:rPr>
        <w:t xml:space="preserve">4.2.4 </w:t>
      </w:r>
      <w:r>
        <w:rPr>
          <w:rFonts w:hint="eastAsia"/>
          <w:color w:val="323232" w:themeColor="text1"/>
          <w:szCs w:val="21"/>
          <w14:textFill>
            <w14:solidFill>
              <w14:schemeClr w14:val="tx1"/>
            </w14:solidFill>
          </w14:textFill>
        </w:rPr>
        <w:t>嵌岩部分的桩基，一般不考虑清除嵌岩段。</w:t>
      </w:r>
      <w:r>
        <w:rPr>
          <w:rFonts w:hint="eastAsia" w:ascii="宋体" w:hAnsi="宋体" w:cs="宋体"/>
          <w:kern w:val="0"/>
          <w:sz w:val="24"/>
        </w:rPr>
        <w:t xml:space="preserve"> </w:t>
      </w:r>
    </w:p>
    <w:p>
      <w:pPr>
        <w:spacing w:line="360" w:lineRule="auto"/>
        <w:rPr>
          <w:rFonts w:hint="eastAsia"/>
          <w:szCs w:val="21"/>
        </w:rPr>
      </w:pPr>
      <w:r>
        <w:rPr>
          <w:b/>
          <w:bCs/>
          <w:color w:val="323232" w:themeColor="text1"/>
          <w:szCs w:val="21"/>
          <w14:textFill>
            <w14:solidFill>
              <w14:schemeClr w14:val="tx1"/>
            </w14:solidFill>
          </w14:textFill>
        </w:rPr>
        <w:t>4.2.5</w:t>
      </w:r>
      <w:r>
        <w:rPr>
          <w:rFonts w:hint="eastAsia"/>
          <w:szCs w:val="21"/>
        </w:rPr>
        <w:t>福建多丘陵、沿海多盆地；地层淤泥、粉细砂层至卵石、残积土至强风化岩、溶洞等皆有；同一地区根据地层不同，甚至同地区同地层，设计选用的桩型也是各有不同。因此，某些参数单靠钻探取土是无法取得的，</w:t>
      </w:r>
      <w:r>
        <w:rPr>
          <w:rFonts w:hint="eastAsia"/>
          <w:color w:val="323232" w:themeColor="text1"/>
          <w:szCs w:val="21"/>
          <w14:textFill>
            <w14:solidFill>
              <w14:schemeClr w14:val="tx1"/>
            </w14:solidFill>
          </w14:textFill>
        </w:rPr>
        <w:t>应根据地区经验和地质条件选择合适的原位测试手段与钻探配合进行</w:t>
      </w:r>
      <w:r>
        <w:rPr>
          <w:rFonts w:hint="eastAsia"/>
          <w:szCs w:val="21"/>
        </w:rPr>
        <w:t>。</w:t>
      </w:r>
    </w:p>
    <w:p>
      <w:pPr>
        <w:spacing w:beforeLines="0" w:afterLines="0" w:line="360" w:lineRule="auto"/>
        <w:ind w:firstLine="1928" w:firstLineChars="800"/>
        <w:outlineLvl w:val="1"/>
        <w:rPr>
          <w:b/>
          <w:color w:val="323232" w:themeColor="text1"/>
          <w:sz w:val="24"/>
          <w14:textFill>
            <w14:solidFill>
              <w14:schemeClr w14:val="tx1"/>
            </w14:solidFill>
          </w14:textFill>
        </w:rPr>
      </w:pPr>
      <w:bookmarkStart w:id="722" w:name="_Toc7994"/>
      <w:r>
        <w:rPr>
          <w:b/>
          <w:color w:val="323232" w:themeColor="text1"/>
          <w:sz w:val="24"/>
          <w14:textFill>
            <w14:solidFill>
              <w14:schemeClr w14:val="tx1"/>
            </w14:solidFill>
          </w14:textFill>
        </w:rPr>
        <w:t xml:space="preserve">4.3  </w:t>
      </w:r>
      <w:r>
        <w:rPr>
          <w:rFonts w:hint="eastAsia"/>
          <w:b/>
          <w:color w:val="323232" w:themeColor="text1"/>
          <w:sz w:val="24"/>
          <w14:textFill>
            <w14:solidFill>
              <w14:schemeClr w14:val="tx1"/>
            </w14:solidFill>
          </w14:textFill>
        </w:rPr>
        <w:t>既有桩基调查</w:t>
      </w:r>
      <w:bookmarkEnd w:id="722"/>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4.3.1</w:t>
      </w:r>
      <w:r>
        <w:rPr>
          <w:rFonts w:hint="eastAsia"/>
          <w:b/>
          <w:bCs/>
          <w:color w:val="323232" w:themeColor="text1"/>
          <w:szCs w:val="21"/>
          <w14:textFill>
            <w14:solidFill>
              <w14:schemeClr w14:val="tx1"/>
            </w14:solidFill>
          </w14:textFill>
        </w:rPr>
        <w:t>、</w:t>
      </w:r>
      <w:r>
        <w:rPr>
          <w:b/>
          <w:bCs/>
          <w:color w:val="323232" w:themeColor="text1"/>
          <w:szCs w:val="21"/>
          <w14:textFill>
            <w14:solidFill>
              <w14:schemeClr w14:val="tx1"/>
            </w14:solidFill>
          </w14:textFill>
        </w:rPr>
        <w:t xml:space="preserve">4.32 </w:t>
      </w:r>
      <w:r>
        <w:rPr>
          <w:rFonts w:hint="eastAsia"/>
          <w:szCs w:val="21"/>
        </w:rPr>
        <w:t>已收集到的既有桩基资料，包括设计、施工、检测等资料。验证现场的桩基现状与收集到的资料是否一致，是调查不可缺少的环节。如抽取的验证桩基现状与所搜集到的资料一致，则可采信所搜集到的资料，减少后续</w:t>
      </w:r>
      <w:r>
        <w:rPr>
          <w:rFonts w:hint="eastAsia"/>
          <w:color w:val="323232" w:themeColor="text1"/>
          <w:szCs w:val="21"/>
          <w14:textFill>
            <w14:solidFill>
              <w14:schemeClr w14:val="tx1"/>
            </w14:solidFill>
          </w14:textFill>
        </w:rPr>
        <w:t>现场调查的工作量。</w:t>
      </w:r>
      <w:r>
        <w:rPr>
          <w:b/>
          <w:bCs/>
          <w:color w:val="323232" w:themeColor="text1"/>
          <w:szCs w:val="21"/>
          <w14:textFill>
            <w14:solidFill>
              <w14:schemeClr w14:val="tx1"/>
            </w14:solidFill>
          </w14:textFill>
        </w:rPr>
        <w:t>4.3.3</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现场调查应包括的基桩资料，为后续清除方案制定提供计算依据。</w:t>
      </w:r>
    </w:p>
    <w:p>
      <w:pPr>
        <w:spacing w:line="360" w:lineRule="auto"/>
        <w:rPr>
          <w:szCs w:val="21"/>
        </w:rPr>
      </w:pPr>
      <w:r>
        <w:rPr>
          <w:b/>
          <w:bCs/>
          <w:color w:val="323232" w:themeColor="text1"/>
          <w:szCs w:val="21"/>
          <w14:textFill>
            <w14:solidFill>
              <w14:schemeClr w14:val="tx1"/>
            </w14:solidFill>
          </w14:textFill>
        </w:rPr>
        <w:t>4.3.5</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混凝</w:t>
      </w:r>
      <w:r>
        <w:rPr>
          <w:rFonts w:hint="eastAsia"/>
          <w:szCs w:val="21"/>
        </w:rPr>
        <w:t>土桩的材料强度、桩身完整性查验方法。此处为调查混凝土桩的相关信息，无需达到检测的标准。</w:t>
      </w:r>
    </w:p>
    <w:p>
      <w:pPr>
        <w:widowControl/>
        <w:jc w:val="left"/>
        <w:rPr>
          <w:szCs w:val="21"/>
        </w:rPr>
      </w:pPr>
      <w:r>
        <w:rPr>
          <w:b/>
          <w:bCs/>
          <w:color w:val="323232" w:themeColor="text1"/>
          <w:szCs w:val="21"/>
          <w14:textFill>
            <w14:solidFill>
              <w14:schemeClr w14:val="tx1"/>
            </w14:solidFill>
          </w14:textFill>
        </w:rPr>
        <w:t xml:space="preserve">4.3.6 </w:t>
      </w:r>
      <w:r>
        <w:rPr>
          <w:color w:val="FF0000"/>
          <w:szCs w:val="21"/>
        </w:rPr>
        <w:t xml:space="preserve"> </w:t>
      </w:r>
      <w:r>
        <w:rPr>
          <w:rFonts w:hint="eastAsia"/>
          <w:szCs w:val="21"/>
        </w:rPr>
        <w:t>基桩钢筋笼长度可采用磁测井法检测，检测深度不宜超过</w:t>
      </w:r>
      <w:r>
        <w:rPr>
          <w:szCs w:val="21"/>
        </w:rPr>
        <w:t>80m</w:t>
      </w:r>
      <w:r>
        <w:rPr>
          <w:rFonts w:hint="eastAsia"/>
          <w:szCs w:val="21"/>
        </w:rPr>
        <w:t>。</w:t>
      </w: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723" w:name="_Toc5948"/>
      <w:bookmarkStart w:id="724" w:name="_Toc2896"/>
      <w:bookmarkStart w:id="725" w:name="_Toc25720"/>
      <w:bookmarkStart w:id="726" w:name="_Toc21986"/>
      <w:bookmarkStart w:id="727" w:name="_Toc1936"/>
      <w:bookmarkStart w:id="728" w:name="_Toc21319"/>
      <w:bookmarkStart w:id="729" w:name="_Toc3362"/>
      <w:bookmarkStart w:id="730" w:name="_Toc10396"/>
      <w:bookmarkStart w:id="731" w:name="_Toc23781"/>
      <w:bookmarkStart w:id="732" w:name="_Toc28466"/>
      <w:r>
        <w:rPr>
          <w:rFonts w:eastAsia="黑体"/>
          <w:color w:val="323232" w:themeColor="text1"/>
          <w:kern w:val="44"/>
          <w:sz w:val="32"/>
          <w:szCs w:val="32"/>
          <w14:textFill>
            <w14:solidFill>
              <w14:schemeClr w14:val="tx1"/>
            </w14:solidFill>
          </w14:textFill>
        </w:rPr>
        <w:t xml:space="preserve">5  </w:t>
      </w:r>
      <w:r>
        <w:rPr>
          <w:rFonts w:hint="eastAsia" w:eastAsia="黑体"/>
          <w:color w:val="323232" w:themeColor="text1"/>
          <w:kern w:val="44"/>
          <w:sz w:val="32"/>
          <w:szCs w:val="32"/>
          <w14:textFill>
            <w14:solidFill>
              <w14:schemeClr w14:val="tx1"/>
            </w14:solidFill>
          </w14:textFill>
        </w:rPr>
        <w:t>方案制定</w:t>
      </w:r>
      <w:bookmarkEnd w:id="723"/>
      <w:bookmarkEnd w:id="724"/>
      <w:bookmarkEnd w:id="725"/>
      <w:bookmarkEnd w:id="726"/>
      <w:bookmarkEnd w:id="727"/>
      <w:bookmarkEnd w:id="728"/>
      <w:bookmarkEnd w:id="729"/>
      <w:bookmarkEnd w:id="730"/>
      <w:bookmarkEnd w:id="731"/>
      <w:bookmarkEnd w:id="732"/>
    </w:p>
    <w:p>
      <w:pPr>
        <w:pStyle w:val="3"/>
        <w:rPr>
          <w:rFonts w:ascii="黑体" w:hAnsi="黑体" w:eastAsia="黑体" w:cs="黑体"/>
          <w:b w:val="0"/>
          <w:bCs/>
          <w:color w:val="000000"/>
        </w:rPr>
      </w:pPr>
      <w:bookmarkStart w:id="733" w:name="_Toc7751"/>
      <w:bookmarkStart w:id="734" w:name="_Toc30806"/>
      <w:bookmarkStart w:id="735" w:name="_Toc14064"/>
      <w:bookmarkStart w:id="736" w:name="_Toc22182"/>
      <w:bookmarkStart w:id="737" w:name="_Toc6158"/>
      <w:bookmarkStart w:id="738" w:name="_Toc14165"/>
      <w:bookmarkStart w:id="739" w:name="_Toc3874"/>
      <w:bookmarkStart w:id="740" w:name="_Toc23538"/>
      <w:bookmarkStart w:id="741" w:name="_Toc16865"/>
      <w:bookmarkStart w:id="742" w:name="_Toc5686"/>
      <w:r>
        <w:rPr>
          <w:rFonts w:ascii="Times New Roman" w:hAnsi="Times New Roman"/>
          <w:color w:val="323232" w:themeColor="text1"/>
          <w14:textFill>
            <w14:solidFill>
              <w14:schemeClr w14:val="tx1"/>
            </w14:solidFill>
          </w14:textFill>
        </w:rPr>
        <w:t>5.1</w:t>
      </w:r>
      <w:r>
        <w:rPr>
          <w:rFonts w:hint="eastAsia" w:ascii="Times New Roman" w:hAnsi="Times New Roman"/>
          <w:color w:val="323232" w:themeColor="text1"/>
          <w:lang w:val="en-US" w:eastAsia="zh-CN"/>
          <w14:textFill>
            <w14:solidFill>
              <w14:schemeClr w14:val="tx1"/>
            </w14:solidFill>
          </w14:textFill>
        </w:rPr>
        <w:t xml:space="preserve">  </w:t>
      </w:r>
      <w:r>
        <w:rPr>
          <w:rFonts w:hint="eastAsia" w:ascii="黑体" w:hAnsi="黑体" w:eastAsia="黑体" w:cs="黑体"/>
          <w:b w:val="0"/>
          <w:bCs/>
          <w:color w:val="000000"/>
        </w:rPr>
        <w:t>方案选择</w:t>
      </w:r>
      <w:bookmarkEnd w:id="733"/>
      <w:bookmarkEnd w:id="734"/>
      <w:bookmarkEnd w:id="735"/>
      <w:bookmarkEnd w:id="736"/>
      <w:bookmarkEnd w:id="737"/>
      <w:bookmarkEnd w:id="738"/>
      <w:bookmarkEnd w:id="739"/>
      <w:bookmarkEnd w:id="740"/>
      <w:bookmarkEnd w:id="741"/>
      <w:bookmarkEnd w:id="742"/>
    </w:p>
    <w:p>
      <w:pPr>
        <w:rPr>
          <w:rFonts w:hint="eastAsia"/>
        </w:rPr>
      </w:pPr>
      <w:r>
        <w:rPr>
          <w:b/>
          <w:bCs/>
          <w:color w:val="323232" w:themeColor="text1"/>
          <w:szCs w:val="21"/>
          <w14:textFill>
            <w14:solidFill>
              <w14:schemeClr w14:val="tx1"/>
            </w14:solidFill>
          </w14:textFill>
        </w:rPr>
        <w:t xml:space="preserve">5.1.1  </w:t>
      </w:r>
      <w:r>
        <w:rPr>
          <w:rFonts w:hint="eastAsia"/>
          <w:color w:val="323232" w:themeColor="text1"/>
          <w:szCs w:val="21"/>
          <w14:textFill>
            <w14:solidFill>
              <w14:schemeClr w14:val="tx1"/>
            </w14:solidFill>
          </w14:textFill>
        </w:rPr>
        <w:t>明确了方案制定是施工方。</w:t>
      </w:r>
    </w:p>
    <w:p>
      <w:pPr>
        <w:spacing w:line="360" w:lineRule="auto"/>
        <w:rPr>
          <w:b/>
          <w:bCs/>
          <w:szCs w:val="21"/>
        </w:rPr>
      </w:pPr>
      <w:r>
        <w:rPr>
          <w:b/>
          <w:bCs/>
          <w:color w:val="323232" w:themeColor="text1"/>
          <w:szCs w:val="21"/>
          <w14:textFill>
            <w14:solidFill>
              <w14:schemeClr w14:val="tx1"/>
            </w14:solidFill>
          </w14:textFill>
        </w:rPr>
        <w:t>5.1.2</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原场地岩土工程勘察资料如满足方案制定，无需实施补充勘察。</w:t>
      </w:r>
    </w:p>
    <w:p>
      <w:pPr>
        <w:spacing w:line="360" w:lineRule="auto"/>
        <w:rPr>
          <w:color w:val="323232" w:themeColor="text1"/>
          <w:szCs w:val="21"/>
          <w14:textFill>
            <w14:solidFill>
              <w14:schemeClr w14:val="tx1"/>
            </w14:solidFill>
          </w14:textFill>
        </w:rPr>
      </w:pPr>
      <w:r>
        <w:rPr>
          <w:b/>
          <w:bCs/>
          <w:szCs w:val="21"/>
        </w:rPr>
        <w:t>5.1.5</w:t>
      </w:r>
      <w:r>
        <w:rPr>
          <w:rFonts w:hint="eastAsia"/>
          <w:b/>
          <w:bCs/>
          <w:szCs w:val="21"/>
        </w:rPr>
        <w:t>、</w:t>
      </w:r>
      <w:r>
        <w:rPr>
          <w:b/>
          <w:bCs/>
          <w:szCs w:val="21"/>
        </w:rPr>
        <w:t>5.1.6</w:t>
      </w:r>
      <w:r>
        <w:rPr>
          <w:szCs w:val="21"/>
        </w:rPr>
        <w:t xml:space="preserve"> </w:t>
      </w:r>
      <w:r>
        <w:rPr>
          <w:rFonts w:hint="eastAsia"/>
          <w:color w:val="323232" w:themeColor="text1"/>
          <w:szCs w:val="21"/>
          <w14:textFill>
            <w14:solidFill>
              <w14:schemeClr w14:val="tx1"/>
            </w14:solidFill>
          </w14:textFill>
        </w:rPr>
        <w:t>对桩身较长、配筋量上大下小的桩基，也可采用上段拔除、下段破碎的组合式清除方法。</w:t>
      </w:r>
    </w:p>
    <w:p>
      <w:pPr>
        <w:spacing w:line="360" w:lineRule="auto"/>
        <w:ind w:firstLine="420" w:firstLineChars="200"/>
        <w:rPr>
          <w:szCs w:val="21"/>
        </w:rPr>
      </w:pPr>
      <w:r>
        <w:rPr>
          <w:rFonts w:hint="eastAsia"/>
          <w:color w:val="323232" w:themeColor="text1"/>
          <w:szCs w:val="21"/>
          <w14:textFill>
            <w14:solidFill>
              <w14:schemeClr w14:val="tx1"/>
            </w14:solidFill>
          </w14:textFill>
        </w:rPr>
        <w:t>破碎清除法可与新建建筑桩基施工配合进行，即直接在清除成孔后浇筑混凝土灌注桩。</w:t>
      </w:r>
    </w:p>
    <w:p>
      <w:pPr>
        <w:spacing w:line="360" w:lineRule="auto"/>
        <w:rPr>
          <w:color w:val="323232" w:themeColor="text1"/>
          <w14:textFill>
            <w14:solidFill>
              <w14:schemeClr w14:val="tx1"/>
            </w14:solidFill>
          </w14:textFill>
        </w:rPr>
      </w:pPr>
      <w:r>
        <w:rPr>
          <w:b/>
          <w:bCs/>
          <w:szCs w:val="21"/>
        </w:rPr>
        <w:t xml:space="preserve">5.1.7  </w:t>
      </w:r>
      <w:r>
        <w:rPr>
          <w:rFonts w:hint="eastAsia"/>
          <w:szCs w:val="21"/>
        </w:rPr>
        <w:t>通过现场试清除，可评价选用的清除方法的适用性，确定清除方法的相关工艺控制参数等。</w:t>
      </w:r>
    </w:p>
    <w:p>
      <w:pPr>
        <w:pStyle w:val="3"/>
        <w:rPr>
          <w:b w:val="0"/>
          <w:color w:val="323232" w:themeColor="text1"/>
          <w14:textFill>
            <w14:solidFill>
              <w14:schemeClr w14:val="tx1"/>
            </w14:solidFill>
          </w14:textFill>
        </w:rPr>
      </w:pPr>
      <w:bookmarkStart w:id="743" w:name="_Toc4287"/>
      <w:bookmarkStart w:id="744" w:name="_Toc17671"/>
      <w:bookmarkStart w:id="745" w:name="_Toc20740"/>
      <w:bookmarkStart w:id="746" w:name="_Toc1838"/>
      <w:bookmarkStart w:id="747" w:name="_Toc11066"/>
      <w:bookmarkStart w:id="748" w:name="_Toc14017"/>
      <w:bookmarkStart w:id="749" w:name="_Toc5190"/>
      <w:bookmarkStart w:id="750" w:name="_Toc2771"/>
      <w:bookmarkStart w:id="751" w:name="_Toc30522"/>
      <w:bookmarkStart w:id="752" w:name="_Toc17606"/>
      <w:r>
        <w:rPr>
          <w:rFonts w:ascii="Times New Roman" w:hAnsi="Times New Roman"/>
          <w:color w:val="323232" w:themeColor="text1"/>
          <w14:textFill>
            <w14:solidFill>
              <w14:schemeClr w14:val="tx1"/>
            </w14:solidFill>
          </w14:textFill>
        </w:rPr>
        <w:t xml:space="preserve">5.2 </w:t>
      </w:r>
      <w:r>
        <w:rPr>
          <w:rFonts w:hint="eastAsia" w:ascii="黑体" w:hAnsi="黑体" w:eastAsia="黑体" w:cs="黑体"/>
          <w:b w:val="0"/>
          <w:bCs/>
          <w:color w:val="000000"/>
        </w:rPr>
        <w:t xml:space="preserve"> 清除范围</w:t>
      </w:r>
      <w:bookmarkEnd w:id="743"/>
      <w:bookmarkEnd w:id="744"/>
      <w:bookmarkEnd w:id="745"/>
      <w:bookmarkEnd w:id="746"/>
      <w:bookmarkEnd w:id="747"/>
      <w:bookmarkEnd w:id="748"/>
      <w:bookmarkEnd w:id="749"/>
      <w:bookmarkEnd w:id="750"/>
      <w:bookmarkEnd w:id="751"/>
      <w:bookmarkEnd w:id="752"/>
    </w:p>
    <w:p>
      <w:pPr>
        <w:spacing w:line="360" w:lineRule="auto"/>
        <w:rPr>
          <w:szCs w:val="21"/>
        </w:rPr>
      </w:pPr>
      <w:r>
        <w:rPr>
          <w:b/>
          <w:bCs/>
          <w:szCs w:val="21"/>
        </w:rPr>
        <w:t xml:space="preserve">5.2.1  </w:t>
      </w:r>
      <w:r>
        <w:rPr>
          <w:rFonts w:hint="eastAsia"/>
          <w:szCs w:val="21"/>
        </w:rPr>
        <w:t>局部包含水平与竖向范围，竖向范围的局部清除即为清除桩基的一段。</w:t>
      </w:r>
    </w:p>
    <w:p>
      <w:pPr>
        <w:spacing w:line="360" w:lineRule="auto"/>
        <w:ind w:firstLine="420" w:firstLineChars="200"/>
        <w:rPr>
          <w:szCs w:val="21"/>
        </w:rPr>
      </w:pPr>
      <w:r>
        <w:rPr>
          <w:rFonts w:hint="eastAsia"/>
          <w:szCs w:val="21"/>
        </w:rPr>
        <w:t>清除范围划定应与拟建工程基础设计紧密结合，及时将既有桩基调查结果反馈设计单位，动态调整。</w:t>
      </w:r>
    </w:p>
    <w:p>
      <w:pPr>
        <w:spacing w:line="360" w:lineRule="auto"/>
        <w:rPr>
          <w:szCs w:val="21"/>
        </w:rPr>
      </w:pPr>
      <w:r>
        <w:rPr>
          <w:b/>
          <w:bCs/>
          <w:szCs w:val="21"/>
        </w:rPr>
        <w:t xml:space="preserve">5.2.2 </w:t>
      </w:r>
      <w:r>
        <w:rPr>
          <w:szCs w:val="21"/>
        </w:rPr>
        <w:t xml:space="preserve"> </w:t>
      </w:r>
      <w:r>
        <w:rPr>
          <w:rFonts w:hint="eastAsia"/>
          <w:szCs w:val="21"/>
        </w:rPr>
        <w:t>考虑桩基施工精度，给出一定余量避免施工时新旧桩基交叉干扰。</w:t>
      </w:r>
    </w:p>
    <w:p>
      <w:pPr>
        <w:spacing w:line="360" w:lineRule="auto"/>
        <w:rPr>
          <w:b/>
          <w:bCs/>
          <w:szCs w:val="21"/>
        </w:rPr>
      </w:pPr>
      <w:r>
        <w:rPr>
          <w:b/>
          <w:bCs/>
          <w:szCs w:val="21"/>
        </w:rPr>
        <w:t>5.2.3</w:t>
      </w:r>
    </w:p>
    <w:p>
      <w:pPr>
        <w:spacing w:line="360" w:lineRule="auto"/>
        <w:ind w:firstLine="422" w:firstLineChars="200"/>
        <w:rPr>
          <w:szCs w:val="21"/>
        </w:rPr>
      </w:pPr>
      <w:r>
        <w:rPr>
          <w:b/>
          <w:bCs/>
          <w:szCs w:val="21"/>
        </w:rPr>
        <w:t xml:space="preserve">1  </w:t>
      </w:r>
      <w:r>
        <w:rPr>
          <w:rFonts w:hint="eastAsia"/>
          <w:szCs w:val="21"/>
        </w:rPr>
        <w:t>新建桩基一般较既有桩基更长，更短情况极少，统一规定整根清除。如为嵌岩桩，则可清除至岩面，理由为：清除的目的为为后续工程桩的施工创造条件，嵌岩部分的残留基桩不影响后续桩基的施工，如清除该部分，势必造成清除后的孔洞与岩基部分形成陡降岩面，若后期设计桩位中心不与原清除桩位一致，势必造成卡钻或者遇岩面陡降无法垂直成孔等一系列新的工程难题。</w:t>
      </w:r>
    </w:p>
    <w:p>
      <w:pPr>
        <w:spacing w:line="360" w:lineRule="auto"/>
        <w:ind w:firstLine="422" w:firstLineChars="200"/>
        <w:rPr>
          <w:szCs w:val="21"/>
        </w:rPr>
      </w:pPr>
      <w:r>
        <w:rPr>
          <w:b/>
          <w:bCs/>
          <w:szCs w:val="21"/>
        </w:rPr>
        <w:t xml:space="preserve">2  </w:t>
      </w:r>
      <w:r>
        <w:rPr>
          <w:rFonts w:hint="eastAsia"/>
          <w:szCs w:val="21"/>
        </w:rPr>
        <w:t>既有桩基对承载力及沉降控制为有利作用。既有桩基仅在拟建工程基础部分范围内分布时，考虑既有桩基带来的不均匀沉降影响。</w:t>
      </w:r>
    </w:p>
    <w:p>
      <w:pPr>
        <w:pStyle w:val="3"/>
        <w:rPr>
          <w:rFonts w:ascii="Times New Roman" w:hAnsi="Times New Roman"/>
          <w:color w:val="323232" w:themeColor="text1"/>
          <w14:textFill>
            <w14:solidFill>
              <w14:schemeClr w14:val="tx1"/>
            </w14:solidFill>
          </w14:textFill>
        </w:rPr>
      </w:pPr>
      <w:bookmarkStart w:id="753" w:name="_Toc13980"/>
      <w:bookmarkStart w:id="754" w:name="_Toc4586"/>
      <w:bookmarkStart w:id="755" w:name="_Toc9387"/>
      <w:bookmarkStart w:id="756" w:name="_Toc8835"/>
      <w:bookmarkStart w:id="757" w:name="_Toc13904"/>
      <w:bookmarkStart w:id="758" w:name="_Toc15924"/>
      <w:bookmarkStart w:id="759" w:name="_Toc19374"/>
      <w:bookmarkStart w:id="760" w:name="_Toc3544"/>
      <w:bookmarkStart w:id="761" w:name="_Toc9240"/>
      <w:bookmarkStart w:id="762" w:name="_Toc8429"/>
      <w:r>
        <w:rPr>
          <w:rFonts w:ascii="Times New Roman" w:hAnsi="Times New Roman"/>
          <w:color w:val="323232" w:themeColor="text1"/>
          <w14:textFill>
            <w14:solidFill>
              <w14:schemeClr w14:val="tx1"/>
            </w14:solidFill>
          </w14:textFill>
        </w:rPr>
        <w:t xml:space="preserve">5.3  </w:t>
      </w:r>
      <w:r>
        <w:rPr>
          <w:rFonts w:hint="eastAsia" w:ascii="黑体" w:hAnsi="黑体" w:eastAsia="黑体" w:cs="黑体"/>
          <w:b w:val="0"/>
          <w:bCs/>
          <w:color w:val="000000"/>
        </w:rPr>
        <w:t>分析计算</w:t>
      </w:r>
      <w:bookmarkEnd w:id="753"/>
      <w:bookmarkEnd w:id="754"/>
      <w:bookmarkEnd w:id="755"/>
      <w:bookmarkEnd w:id="756"/>
      <w:bookmarkEnd w:id="757"/>
      <w:bookmarkEnd w:id="758"/>
      <w:bookmarkEnd w:id="759"/>
      <w:bookmarkEnd w:id="760"/>
      <w:bookmarkEnd w:id="761"/>
      <w:bookmarkEnd w:id="762"/>
    </w:p>
    <w:p>
      <w:pPr>
        <w:spacing w:line="360" w:lineRule="auto"/>
        <w:rPr>
          <w:szCs w:val="21"/>
        </w:rPr>
      </w:pPr>
      <w:r>
        <w:rPr>
          <w:b/>
          <w:bCs/>
          <w:szCs w:val="21"/>
        </w:rPr>
        <w:t xml:space="preserve">5.3.1 </w:t>
      </w:r>
      <w:r>
        <w:rPr>
          <w:szCs w:val="21"/>
        </w:rPr>
        <w:t xml:space="preserve"> </w:t>
      </w:r>
      <w:r>
        <w:rPr>
          <w:rFonts w:hint="eastAsia"/>
          <w:szCs w:val="21"/>
        </w:rPr>
        <w:t>桩身抗拔力一般以钢筋控制，所以对既有桩基中钢筋的直径、数量、锈蚀情况的调查至关重要。尤其是锈蚀情况，对于年代久远的既有桩基，其钢筋承载能力大幅降低。</w:t>
      </w:r>
    </w:p>
    <w:p>
      <w:pPr>
        <w:spacing w:line="360" w:lineRule="auto"/>
        <w:rPr>
          <w:b/>
          <w:bCs/>
          <w:szCs w:val="21"/>
        </w:rPr>
      </w:pPr>
      <w:r>
        <w:rPr>
          <w:b/>
          <w:bCs/>
          <w:szCs w:val="21"/>
        </w:rPr>
        <w:t xml:space="preserve">5.3.3 </w:t>
      </w:r>
      <w:r>
        <w:rPr>
          <w:rFonts w:hint="eastAsia"/>
          <w:szCs w:val="21"/>
        </w:rPr>
        <w:t>表</w:t>
      </w:r>
      <w:r>
        <w:rPr>
          <w:szCs w:val="21"/>
        </w:rPr>
        <w:t>5.3.3-2</w:t>
      </w:r>
      <w:r>
        <w:rPr>
          <w:rFonts w:hint="eastAsia"/>
          <w:szCs w:val="21"/>
        </w:rPr>
        <w:t>杂填土至残积砂（砾）质黏性土部分引用《建筑与市政地基基础技术标准》</w:t>
      </w:r>
      <w:r>
        <w:rPr>
          <w:szCs w:val="21"/>
        </w:rPr>
        <w:t>DBJ/T13-07-2021</w:t>
      </w:r>
      <w:r>
        <w:rPr>
          <w:rFonts w:hint="eastAsia"/>
          <w:szCs w:val="21"/>
        </w:rPr>
        <w:t>表</w:t>
      </w:r>
      <w:r>
        <w:rPr>
          <w:szCs w:val="21"/>
        </w:rPr>
        <w:t>10.3.6</w:t>
      </w:r>
      <w:r>
        <w:rPr>
          <w:rFonts w:hint="eastAsia"/>
          <w:szCs w:val="21"/>
        </w:rPr>
        <w:t>桩侧阻力，取上限；风化岩部分引用《建筑桩基技术规范》</w:t>
      </w:r>
      <w:r>
        <w:rPr>
          <w:szCs w:val="21"/>
        </w:rPr>
        <w:t>JGJ 94-2008</w:t>
      </w:r>
      <w:r>
        <w:rPr>
          <w:rFonts w:hint="eastAsia"/>
          <w:szCs w:val="21"/>
        </w:rPr>
        <w:t>表</w:t>
      </w:r>
      <w:r>
        <w:rPr>
          <w:szCs w:val="21"/>
        </w:rPr>
        <w:t>5.3.5-1</w:t>
      </w:r>
      <w:r>
        <w:rPr>
          <w:rFonts w:hint="eastAsia"/>
          <w:szCs w:val="21"/>
        </w:rPr>
        <w:t>桩的极限侧阻力标准值，取上限。在抗拔桩上拔力工程设计中，引进抗拔系数为</w:t>
      </w:r>
      <w:r>
        <w:rPr>
          <w:szCs w:val="21"/>
        </w:rPr>
        <w:t>0.5-0.8</w:t>
      </w:r>
      <w:r>
        <w:rPr>
          <w:rFonts w:hint="eastAsia"/>
          <w:szCs w:val="21"/>
        </w:rPr>
        <w:t>，这个系数完全保证抗拔桩在极限上拔力作用下不会产生明显上拔位移。本标准是要做到在估算拔桩阻力作用下，会较容易产生较大动位移，因此，建议</w:t>
      </w:r>
      <w:r>
        <w:rPr>
          <w:szCs w:val="21"/>
        </w:rPr>
        <w:t>Fe</w:t>
      </w:r>
      <w:r>
        <w:rPr>
          <w:rFonts w:hint="eastAsia"/>
          <w:szCs w:val="21"/>
        </w:rPr>
        <w:t>计算公式中引进抗拔系数，抗拔系数大小提高到</w:t>
      </w:r>
      <w:r>
        <w:rPr>
          <w:szCs w:val="21"/>
        </w:rPr>
        <w:t>1</w:t>
      </w:r>
      <w:r>
        <w:rPr>
          <w:rFonts w:hint="eastAsia"/>
          <w:szCs w:val="21"/>
        </w:rPr>
        <w:t>以上。</w:t>
      </w:r>
    </w:p>
    <w:p>
      <w:pPr>
        <w:spacing w:line="360" w:lineRule="auto"/>
        <w:ind w:firstLine="422" w:firstLineChars="200"/>
        <w:rPr>
          <w:b/>
          <w:bCs/>
          <w:szCs w:val="21"/>
        </w:rPr>
      </w:pPr>
      <w:r>
        <w:rPr>
          <w:b/>
          <w:bCs/>
          <w:szCs w:val="21"/>
        </w:rPr>
        <w:t xml:space="preserve">5.3.4  </w:t>
      </w:r>
      <w:r>
        <w:rPr>
          <w:rFonts w:hint="eastAsia"/>
          <w:szCs w:val="21"/>
        </w:rPr>
        <w:t>仅基坑支护等土对桩基形成半包围构造时考虑</w:t>
      </w:r>
      <w:r>
        <w:rPr>
          <w:szCs w:val="21"/>
        </w:rPr>
        <w:t>Fs</w:t>
      </w:r>
      <w:r>
        <w:rPr>
          <w:rFonts w:hint="eastAsia"/>
          <w:szCs w:val="21"/>
        </w:rPr>
        <w:t>，此时该部分桩基呈悬臂结构。嵌固部分桩两侧主、被动土压力差予以忽略，不考虑因此带来的侧面摩擦力。式中</w:t>
      </w:r>
      <w:r>
        <w:rPr>
          <w:szCs w:val="21"/>
        </w:rPr>
        <w:t>W</w:t>
      </w:r>
      <w:r>
        <w:rPr>
          <w:rFonts w:hint="eastAsia"/>
          <w:szCs w:val="21"/>
        </w:rPr>
        <w:t>——桩与桩侧土的接触宽度（</w:t>
      </w:r>
      <w:r>
        <w:rPr>
          <w:szCs w:val="21"/>
        </w:rPr>
        <w:t>m</w:t>
      </w:r>
      <w:r>
        <w:rPr>
          <w:rFonts w:hint="eastAsia"/>
          <w:szCs w:val="21"/>
          <w:lang w:eastAsia="zh-CN"/>
        </w:rPr>
        <w:t>）</w:t>
      </w:r>
      <w:r>
        <w:rPr>
          <w:rFonts w:hint="eastAsia"/>
          <w:szCs w:val="21"/>
        </w:rPr>
        <w:t>，接触宽度为主动土压力合力所垂直对应的结构投影面宽度。</w:t>
      </w:r>
    </w:p>
    <w:p>
      <w:pPr>
        <w:spacing w:line="360" w:lineRule="auto"/>
        <w:rPr>
          <w:szCs w:val="21"/>
        </w:rPr>
      </w:pPr>
    </w:p>
    <w:p>
      <w:pPr>
        <w:widowControl/>
        <w:jc w:val="left"/>
        <w:rPr>
          <w:sz w:val="24"/>
        </w:rPr>
      </w:pPr>
      <w:r>
        <w:rPr>
          <w:sz w:val="24"/>
        </w:rPr>
        <w:br w:type="page"/>
      </w: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763" w:name="_Toc9171"/>
      <w:bookmarkStart w:id="764" w:name="_Toc26895"/>
      <w:bookmarkStart w:id="765" w:name="_Toc9555"/>
      <w:bookmarkStart w:id="766" w:name="_Toc7266"/>
      <w:bookmarkStart w:id="767" w:name="_Toc11481"/>
      <w:bookmarkStart w:id="768" w:name="_Toc28153"/>
      <w:bookmarkStart w:id="769" w:name="_Toc24840"/>
      <w:bookmarkStart w:id="770" w:name="_Toc22729"/>
      <w:bookmarkStart w:id="771" w:name="_Toc8263"/>
      <w:bookmarkStart w:id="772" w:name="_Toc12783"/>
      <w:r>
        <w:rPr>
          <w:rFonts w:eastAsia="黑体"/>
          <w:color w:val="323232" w:themeColor="text1"/>
          <w:kern w:val="44"/>
          <w:sz w:val="32"/>
          <w:szCs w:val="32"/>
          <w14:textFill>
            <w14:solidFill>
              <w14:schemeClr w14:val="tx1"/>
            </w14:solidFill>
          </w14:textFill>
        </w:rPr>
        <w:t xml:space="preserve">6 </w:t>
      </w:r>
      <w:r>
        <w:rPr>
          <w:rFonts w:hint="eastAsia" w:eastAsia="黑体"/>
          <w:color w:val="323232" w:themeColor="text1"/>
          <w:kern w:val="44"/>
          <w:sz w:val="32"/>
          <w:szCs w:val="32"/>
          <w14:textFill>
            <w14:solidFill>
              <w14:schemeClr w14:val="tx1"/>
            </w14:solidFill>
          </w14:textFill>
        </w:rPr>
        <w:t>施工</w:t>
      </w:r>
      <w:bookmarkEnd w:id="763"/>
      <w:bookmarkEnd w:id="764"/>
      <w:bookmarkEnd w:id="765"/>
      <w:bookmarkEnd w:id="766"/>
      <w:bookmarkEnd w:id="767"/>
      <w:bookmarkEnd w:id="768"/>
      <w:bookmarkEnd w:id="769"/>
      <w:bookmarkEnd w:id="770"/>
      <w:bookmarkEnd w:id="771"/>
      <w:bookmarkEnd w:id="772"/>
    </w:p>
    <w:p>
      <w:pPr>
        <w:pStyle w:val="3"/>
        <w:rPr>
          <w:rFonts w:ascii="Times New Roman" w:hAnsi="Times New Roman"/>
          <w:color w:val="323232" w:themeColor="text1"/>
          <w14:textFill>
            <w14:solidFill>
              <w14:schemeClr w14:val="tx1"/>
            </w14:solidFill>
          </w14:textFill>
        </w:rPr>
      </w:pPr>
      <w:bookmarkStart w:id="773" w:name="_Toc26817"/>
      <w:bookmarkStart w:id="774" w:name="_Toc373"/>
      <w:bookmarkStart w:id="775" w:name="_Toc16173"/>
      <w:bookmarkStart w:id="776" w:name="_Toc16970"/>
      <w:bookmarkStart w:id="777" w:name="_Toc5530"/>
      <w:bookmarkStart w:id="778" w:name="_Toc22253"/>
      <w:bookmarkStart w:id="779" w:name="_Toc20799"/>
      <w:bookmarkStart w:id="780" w:name="_Toc19183"/>
      <w:bookmarkStart w:id="781" w:name="_Toc9919"/>
      <w:bookmarkStart w:id="782" w:name="_Toc3565"/>
      <w:r>
        <w:rPr>
          <w:rFonts w:ascii="Times New Roman" w:hAnsi="Times New Roman"/>
          <w:color w:val="323232" w:themeColor="text1"/>
          <w14:textFill>
            <w14:solidFill>
              <w14:schemeClr w14:val="tx1"/>
            </w14:solidFill>
          </w14:textFill>
        </w:rPr>
        <w:t xml:space="preserve">6.1 </w:t>
      </w:r>
      <w:r>
        <w:rPr>
          <w:rFonts w:hint="eastAsia" w:ascii="黑体" w:hAnsi="黑体" w:eastAsia="黑体" w:cs="黑体"/>
          <w:b w:val="0"/>
          <w:bCs/>
          <w:color w:val="000000"/>
        </w:rPr>
        <w:t>一般规定</w:t>
      </w:r>
      <w:bookmarkEnd w:id="773"/>
      <w:bookmarkEnd w:id="774"/>
      <w:bookmarkEnd w:id="775"/>
      <w:bookmarkEnd w:id="776"/>
      <w:bookmarkEnd w:id="777"/>
      <w:bookmarkEnd w:id="778"/>
      <w:bookmarkEnd w:id="779"/>
      <w:bookmarkEnd w:id="780"/>
      <w:bookmarkEnd w:id="781"/>
      <w:bookmarkEnd w:id="782"/>
    </w:p>
    <w:p>
      <w:pPr>
        <w:spacing w:line="360" w:lineRule="auto"/>
        <w:jc w:val="left"/>
        <w:rPr>
          <w:color w:val="323232" w:themeColor="text1"/>
          <w:szCs w:val="21"/>
          <w14:textFill>
            <w14:solidFill>
              <w14:schemeClr w14:val="tx1"/>
            </w14:solidFill>
          </w14:textFill>
        </w:rPr>
      </w:pPr>
      <w:r>
        <w:rPr>
          <w:b/>
          <w:bCs/>
          <w:szCs w:val="21"/>
        </w:rPr>
        <w:t xml:space="preserve">6.1.3  </w:t>
      </w:r>
      <w:r>
        <w:rPr>
          <w:rFonts w:hint="eastAsia"/>
          <w:color w:val="323232" w:themeColor="text1"/>
          <w:szCs w:val="21"/>
          <w14:textFill>
            <w14:solidFill>
              <w14:schemeClr w14:val="tx1"/>
            </w14:solidFill>
          </w14:textFill>
        </w:rPr>
        <w:t>采用分次、分段、间隔的顺序，尽量避免一次连续清除，以减小桩基清除对周边环境的影响。</w:t>
      </w:r>
    </w:p>
    <w:p>
      <w:pPr>
        <w:spacing w:line="360" w:lineRule="auto"/>
        <w:rPr>
          <w:szCs w:val="21"/>
        </w:rPr>
      </w:pPr>
      <w:r>
        <w:rPr>
          <w:b/>
          <w:bCs/>
          <w:szCs w:val="21"/>
        </w:rPr>
        <w:t xml:space="preserve">6.1.4 </w:t>
      </w:r>
      <w:r>
        <w:rPr>
          <w:szCs w:val="21"/>
        </w:rPr>
        <w:t xml:space="preserve"> </w:t>
      </w:r>
      <w:r>
        <w:rPr>
          <w:rFonts w:hint="eastAsia"/>
          <w:szCs w:val="21"/>
        </w:rPr>
        <w:t>清除施工记录应包括施工日期、桩位、桩径、清除工艺、清除深度、作业人员、回填材料及用量等内容。</w:t>
      </w:r>
    </w:p>
    <w:p>
      <w:pPr>
        <w:spacing w:line="360" w:lineRule="auto"/>
        <w:ind w:firstLine="420" w:firstLineChars="200"/>
        <w:rPr>
          <w:szCs w:val="21"/>
        </w:rPr>
      </w:pPr>
      <w:r>
        <w:rPr>
          <w:rFonts w:hint="eastAsia"/>
          <w:szCs w:val="21"/>
        </w:rPr>
        <w:t>清除作业全程为隐蔽工程，其成果难以全面检验，所以过程中的见证与监督格外重要。</w:t>
      </w:r>
    </w:p>
    <w:p>
      <w:pPr>
        <w:spacing w:line="360" w:lineRule="auto"/>
        <w:ind w:firstLine="420" w:firstLineChars="200"/>
        <w:rPr>
          <w:szCs w:val="21"/>
        </w:rPr>
      </w:pPr>
      <w:r>
        <w:rPr>
          <w:rFonts w:hint="eastAsia"/>
          <w:szCs w:val="21"/>
        </w:rPr>
        <w:t>本标准附录</w:t>
      </w:r>
      <w:r>
        <w:rPr>
          <w:szCs w:val="21"/>
        </w:rPr>
        <w:t>A</w:t>
      </w:r>
      <w:r>
        <w:rPr>
          <w:rFonts w:hint="eastAsia"/>
          <w:szCs w:val="21"/>
        </w:rPr>
        <w:t>给出清除及桩孔回填施工的典型施工记录模板以供参考。</w:t>
      </w:r>
    </w:p>
    <w:p>
      <w:pPr>
        <w:spacing w:line="360" w:lineRule="auto"/>
        <w:rPr>
          <w:szCs w:val="21"/>
        </w:rPr>
      </w:pPr>
      <w:r>
        <w:rPr>
          <w:b/>
          <w:bCs/>
          <w:szCs w:val="21"/>
        </w:rPr>
        <w:t xml:space="preserve">6.1.5  </w:t>
      </w:r>
      <w:r>
        <w:rPr>
          <w:rFonts w:hint="eastAsia"/>
          <w:szCs w:val="21"/>
        </w:rPr>
        <w:t>清除施工过程中会带出部分土体形成桩孔，容易造成相邻地面沉降或出现裂缝，因此清除部位附近有保护要求严格的建（构）筑物等、地下管线或道路时，应引起特别重视。</w:t>
      </w:r>
    </w:p>
    <w:p>
      <w:pPr>
        <w:spacing w:line="360" w:lineRule="auto"/>
        <w:rPr>
          <w:color w:val="323232" w:themeColor="text1"/>
          <w:szCs w:val="21"/>
          <w14:textFill>
            <w14:solidFill>
              <w14:schemeClr w14:val="tx1"/>
            </w14:solidFill>
          </w14:textFill>
        </w:rPr>
      </w:pPr>
    </w:p>
    <w:p>
      <w:pPr>
        <w:pStyle w:val="3"/>
        <w:rPr>
          <w:rFonts w:ascii="Times New Roman" w:hAnsi="Times New Roman"/>
          <w:color w:val="323232" w:themeColor="text1"/>
          <w14:textFill>
            <w14:solidFill>
              <w14:schemeClr w14:val="tx1"/>
            </w14:solidFill>
          </w14:textFill>
        </w:rPr>
      </w:pPr>
      <w:bookmarkStart w:id="783" w:name="_Toc18500"/>
      <w:bookmarkStart w:id="784" w:name="_Toc15738"/>
      <w:bookmarkStart w:id="785" w:name="_Toc28264"/>
      <w:bookmarkStart w:id="786" w:name="_Toc19025"/>
      <w:bookmarkStart w:id="787" w:name="_Toc27464"/>
      <w:bookmarkStart w:id="788" w:name="_Toc2416"/>
      <w:bookmarkStart w:id="789" w:name="_Toc26331"/>
      <w:bookmarkStart w:id="790" w:name="_Toc18675"/>
      <w:bookmarkStart w:id="791" w:name="_Toc5019"/>
      <w:bookmarkStart w:id="792" w:name="_Toc18769"/>
      <w:r>
        <w:rPr>
          <w:rFonts w:ascii="Times New Roman" w:hAnsi="Times New Roman"/>
          <w:color w:val="323232" w:themeColor="text1"/>
          <w14:textFill>
            <w14:solidFill>
              <w14:schemeClr w14:val="tx1"/>
            </w14:solidFill>
          </w14:textFill>
        </w:rPr>
        <w:t xml:space="preserve">6.2 </w:t>
      </w:r>
      <w:r>
        <w:rPr>
          <w:rFonts w:hint="eastAsia" w:ascii="黑体" w:hAnsi="黑体" w:eastAsia="黑体" w:cs="黑体"/>
          <w:b w:val="0"/>
          <w:bCs/>
          <w:color w:val="000000"/>
        </w:rPr>
        <w:t>拔除法</w:t>
      </w:r>
      <w:bookmarkEnd w:id="783"/>
      <w:bookmarkEnd w:id="784"/>
      <w:bookmarkEnd w:id="785"/>
      <w:bookmarkEnd w:id="786"/>
      <w:bookmarkEnd w:id="787"/>
      <w:bookmarkEnd w:id="788"/>
      <w:bookmarkEnd w:id="789"/>
      <w:bookmarkEnd w:id="790"/>
      <w:bookmarkEnd w:id="791"/>
      <w:bookmarkEnd w:id="792"/>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6.2.2  </w:t>
      </w:r>
      <w:r>
        <w:rPr>
          <w:rFonts w:hint="eastAsia"/>
          <w:color w:val="323232" w:themeColor="text1"/>
          <w:szCs w:val="21"/>
          <w14:textFill>
            <w14:solidFill>
              <w14:schemeClr w14:val="tx1"/>
            </w14:solidFill>
          </w14:textFill>
        </w:rPr>
        <w:t>振动法是利用共振理论设计的。当桩</w:t>
      </w:r>
      <w:r>
        <w:rPr>
          <w:rFonts w:hint="eastAsia"/>
          <w:szCs w:val="21"/>
        </w:rPr>
        <w:t>的强迫振动频率与土颗粒的振动频率一致时，土颗粒产生共振，此时，土颗粒有最大的振幅，足够的振动速度和加速度能够迅速破坏桩和土颗粒之间的黏合力，</w:t>
      </w:r>
      <w:r>
        <w:rPr>
          <w:rFonts w:hint="eastAsia"/>
          <w:color w:val="323232" w:themeColor="text1"/>
          <w:szCs w:val="21"/>
          <w14:textFill>
            <w14:solidFill>
              <w14:schemeClr w14:val="tx1"/>
            </w14:solidFill>
          </w14:textFill>
        </w:rPr>
        <w:t>使桩身与土颗粒从压紧状态过渡到瞬间分离状态，拔桩阻力尤其是侧阻力迅速减小，以实现拔桩。</w:t>
      </w:r>
    </w:p>
    <w:p>
      <w:pPr>
        <w:spacing w:line="360" w:lineRule="auto"/>
        <w:ind w:firstLine="420" w:firstLineChars="200"/>
        <w:rPr>
          <w:color w:val="323232" w:themeColor="text1"/>
          <w:szCs w:val="21"/>
          <w14:textFill>
            <w14:solidFill>
              <w14:schemeClr w14:val="tx1"/>
            </w14:solidFill>
          </w14:textFill>
        </w:rPr>
      </w:pPr>
      <w:r>
        <w:rPr>
          <w:rFonts w:hint="eastAsia"/>
          <w:color w:val="323232" w:themeColor="text1"/>
          <w:szCs w:val="21"/>
          <w14:textFill>
            <w14:solidFill>
              <w14:schemeClr w14:val="tx1"/>
            </w14:solidFill>
          </w14:textFill>
        </w:rPr>
        <w:t>振动法可以借助于吊车配合施工，也可以由挖掘机直接改装成机械手进行一体化施工。由挖掘机改装成的机械手，只需稍加人工配合，施工非常灵活快捷，但其一般会受到桩长和地质条件的限制，使用前应综合考虑。</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6.2.4 </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振动法拔桩一般应根据桩长、地层条件、施工条件和拔桩要求选取合理的振动锤规格型号，也可以通过计算振动锤的振幅和偏心距来选择相应的规格型号。本条给出了详细的计算公式可供参考。</w:t>
      </w:r>
    </w:p>
    <w:p>
      <w:pPr>
        <w:spacing w:line="360" w:lineRule="auto"/>
        <w:rPr>
          <w:szCs w:val="21"/>
        </w:rPr>
      </w:pPr>
      <w:r>
        <w:rPr>
          <w:b/>
          <w:bCs/>
          <w:szCs w:val="21"/>
        </w:rPr>
        <w:t xml:space="preserve">6.2.7  </w:t>
      </w:r>
      <w:r>
        <w:rPr>
          <w:rFonts w:hint="eastAsia"/>
          <w:szCs w:val="21"/>
        </w:rPr>
        <w:t>千斤顶底部宜垫具足够面积和厚度的钢板以增加受力面积。</w:t>
      </w:r>
    </w:p>
    <w:p>
      <w:pPr>
        <w:spacing w:line="360" w:lineRule="auto"/>
        <w:rPr>
          <w:szCs w:val="21"/>
        </w:rPr>
      </w:pPr>
      <w:r>
        <w:rPr>
          <w:b/>
          <w:bCs/>
          <w:color w:val="323232" w:themeColor="text1"/>
          <w:szCs w:val="21"/>
          <w14:textFill>
            <w14:solidFill>
              <w14:schemeClr w14:val="tx1"/>
            </w14:solidFill>
          </w14:textFill>
        </w:rPr>
        <w:t xml:space="preserve">6.2.8 </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不满足时应通过回填砖渣、铺设钢板等措施改善地基承载力或降低压强。</w:t>
      </w:r>
    </w:p>
    <w:p>
      <w:pPr>
        <w:spacing w:line="360" w:lineRule="auto"/>
        <w:rPr>
          <w:szCs w:val="21"/>
        </w:rPr>
      </w:pPr>
      <w:r>
        <w:rPr>
          <w:b/>
          <w:bCs/>
          <w:szCs w:val="21"/>
        </w:rPr>
        <w:t xml:space="preserve">6.2.9  </w:t>
      </w:r>
      <w:r>
        <w:rPr>
          <w:rFonts w:hint="eastAsia"/>
          <w:szCs w:val="21"/>
        </w:rPr>
        <w:t>尽量减少人工下孔作业，无法避免时</w:t>
      </w:r>
      <w:r>
        <w:rPr>
          <w:rFonts w:hint="eastAsia"/>
          <w:color w:val="323232" w:themeColor="text1"/>
          <w:szCs w:val="21"/>
          <w14:textFill>
            <w14:solidFill>
              <w14:schemeClr w14:val="tx1"/>
            </w14:solidFill>
          </w14:textFill>
        </w:rPr>
        <w:t>应有必要的防护和应急措施，保证施工安全。</w:t>
      </w:r>
    </w:p>
    <w:p>
      <w:pPr>
        <w:spacing w:line="360" w:lineRule="auto"/>
        <w:rPr>
          <w:szCs w:val="21"/>
        </w:rPr>
      </w:pPr>
      <w:r>
        <w:rPr>
          <w:b/>
          <w:bCs/>
          <w:szCs w:val="21"/>
        </w:rPr>
        <w:t>6.2.10</w:t>
      </w:r>
      <w:r>
        <w:rPr>
          <w:rFonts w:hint="eastAsia"/>
          <w:szCs w:val="21"/>
        </w:rPr>
        <w:t>施工过程尚应注意如下事项：</w:t>
      </w:r>
    </w:p>
    <w:p>
      <w:pPr>
        <w:spacing w:line="360" w:lineRule="auto"/>
        <w:ind w:firstLine="422" w:firstLineChars="200"/>
        <w:rPr>
          <w:szCs w:val="21"/>
        </w:rPr>
      </w:pPr>
      <w:r>
        <w:rPr>
          <w:b/>
          <w:bCs/>
          <w:color w:val="323232" w:themeColor="text1"/>
          <w:szCs w:val="21"/>
          <w14:textFill>
            <w14:solidFill>
              <w14:schemeClr w14:val="tx1"/>
            </w14:solidFill>
          </w14:textFill>
        </w:rPr>
        <w:t xml:space="preserve">1 </w:t>
      </w:r>
      <w:r>
        <w:rPr>
          <w:rFonts w:hint="eastAsia"/>
          <w:szCs w:val="21"/>
        </w:rPr>
        <w:t>拔桩前应检查验收拔桩机械，确保机械装置完好；</w:t>
      </w:r>
    </w:p>
    <w:p>
      <w:pPr>
        <w:spacing w:line="360" w:lineRule="auto"/>
        <w:ind w:left="420" w:leftChars="200"/>
        <w:rPr>
          <w:szCs w:val="21"/>
        </w:rPr>
      </w:pPr>
      <w:r>
        <w:rPr>
          <w:b/>
          <w:bCs/>
          <w:color w:val="323232" w:themeColor="text1"/>
          <w:szCs w:val="21"/>
          <w14:textFill>
            <w14:solidFill>
              <w14:schemeClr w14:val="tx1"/>
            </w14:solidFill>
          </w14:textFill>
        </w:rPr>
        <w:t xml:space="preserve">2 </w:t>
      </w:r>
      <w:r>
        <w:rPr>
          <w:rFonts w:hint="eastAsia"/>
          <w:szCs w:val="21"/>
        </w:rPr>
        <w:t>对拔桩过程中出现的突发断桩，应预选制定好应急措施；</w:t>
      </w:r>
      <w:r>
        <w:rPr>
          <w:b/>
          <w:bCs/>
          <w:color w:val="323232" w:themeColor="text1"/>
          <w:szCs w:val="21"/>
          <w14:textFill>
            <w14:solidFill>
              <w14:schemeClr w14:val="tx1"/>
            </w14:solidFill>
          </w14:textFill>
        </w:rPr>
        <w:t xml:space="preserve">3 </w:t>
      </w:r>
      <w:r>
        <w:rPr>
          <w:rFonts w:hint="eastAsia"/>
          <w:szCs w:val="21"/>
        </w:rPr>
        <w:t>拔桩过程要分时、分段加力，桩被初始顶升后，应校核拔桩力以判断是否断桩；</w:t>
      </w:r>
    </w:p>
    <w:p>
      <w:pPr>
        <w:spacing w:line="360" w:lineRule="auto"/>
        <w:ind w:left="420" w:leftChars="200"/>
        <w:rPr>
          <w:szCs w:val="21"/>
        </w:rPr>
      </w:pPr>
      <w:r>
        <w:rPr>
          <w:b/>
          <w:bCs/>
          <w:color w:val="323232" w:themeColor="text1"/>
          <w:szCs w:val="21"/>
          <w14:textFill>
            <w14:solidFill>
              <w14:schemeClr w14:val="tx1"/>
            </w14:solidFill>
          </w14:textFill>
        </w:rPr>
        <w:t xml:space="preserve">4 </w:t>
      </w:r>
      <w:r>
        <w:rPr>
          <w:rFonts w:hint="eastAsia"/>
          <w:szCs w:val="21"/>
        </w:rPr>
        <w:t>拔桩过程应对拔桩力进行测量，起拔后抗拔力会逐渐减小，所以要在适当的时候减小拔桩力，对施工机械应系保险绳，防止断桩出现意外事故。</w:t>
      </w:r>
    </w:p>
    <w:p>
      <w:pPr>
        <w:spacing w:line="360" w:lineRule="auto"/>
        <w:rPr>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6.2.11  </w:t>
      </w:r>
      <w:r>
        <w:rPr>
          <w:rFonts w:hint="eastAsia"/>
          <w:color w:val="323232" w:themeColor="text1"/>
          <w:szCs w:val="21"/>
          <w14:textFill>
            <w14:solidFill>
              <w14:schemeClr w14:val="tx1"/>
            </w14:solidFill>
          </w14:textFill>
        </w:rPr>
        <w:t>减阻措施可单独使用也可组合使用，可通长使用也可仅在某一段使用。对于大直径长桩，抗拔阻力极大，宜优先使用全回转钻机拔桩等先进技术。</w:t>
      </w:r>
    </w:p>
    <w:p>
      <w:pPr>
        <w:spacing w:line="360" w:lineRule="auto"/>
        <w:rPr>
          <w:b/>
          <w:bCs/>
          <w:color w:val="323232" w:themeColor="text1"/>
          <w:szCs w:val="21"/>
          <w14:textFill>
            <w14:solidFill>
              <w14:schemeClr w14:val="tx1"/>
            </w14:solidFill>
          </w14:textFill>
        </w:rPr>
      </w:pPr>
      <w:r>
        <w:rPr>
          <w:b/>
          <w:bCs/>
          <w:color w:val="323232" w:themeColor="text1"/>
          <w:szCs w:val="21"/>
          <w14:textFill>
            <w14:solidFill>
              <w14:schemeClr w14:val="tx1"/>
            </w14:solidFill>
          </w14:textFill>
        </w:rPr>
        <w:t xml:space="preserve">6.2.12 </w:t>
      </w:r>
      <w:r>
        <w:rPr>
          <w:rFonts w:hint="eastAsia"/>
          <w:color w:val="323232" w:themeColor="text1"/>
          <w:szCs w:val="21"/>
          <w14:textFill>
            <w14:solidFill>
              <w14:schemeClr w14:val="tx1"/>
            </w14:solidFill>
          </w14:textFill>
        </w:rPr>
        <w:t>利用钻孔取土来减小桩周阻力时，除钻孔部位摩阻力为零外，钻孔周围土体受到扰动，其摩阻力也会减小。考虑这一点，引入钻孔扰动桩周土带来的折减系数增大系数</w:t>
      </w:r>
      <w:r>
        <w:rPr>
          <w:color w:val="323232" w:themeColor="text1"/>
          <w:szCs w:val="21"/>
          <w14:textFill>
            <w14:solidFill>
              <w14:schemeClr w14:val="tx1"/>
            </w14:solidFill>
          </w14:textFill>
        </w:rPr>
        <w:t>λ</w:t>
      </w:r>
      <w:r>
        <w:rPr>
          <w:rFonts w:hint="eastAsia"/>
          <w:b/>
          <w:bCs/>
          <w:color w:val="323232" w:themeColor="text1"/>
          <w:szCs w:val="21"/>
          <w14:textFill>
            <w14:solidFill>
              <w14:schemeClr w14:val="tx1"/>
            </w14:solidFill>
          </w14:textFill>
        </w:rPr>
        <w:t>。</w:t>
      </w:r>
    </w:p>
    <w:p>
      <w:pPr>
        <w:pStyle w:val="3"/>
        <w:rPr>
          <w:rFonts w:ascii="Times New Roman" w:hAnsi="Times New Roman"/>
          <w:color w:val="323232" w:themeColor="text1"/>
          <w14:textFill>
            <w14:solidFill>
              <w14:schemeClr w14:val="tx1"/>
            </w14:solidFill>
          </w14:textFill>
        </w:rPr>
      </w:pPr>
      <w:bookmarkStart w:id="793" w:name="_Toc23939"/>
      <w:bookmarkStart w:id="794" w:name="_Toc26382"/>
      <w:bookmarkStart w:id="795" w:name="_Toc13576"/>
      <w:bookmarkStart w:id="796" w:name="_Toc31118"/>
      <w:bookmarkStart w:id="797" w:name="_Toc8995"/>
      <w:bookmarkStart w:id="798" w:name="_Toc7246"/>
      <w:bookmarkStart w:id="799" w:name="_Toc10266"/>
      <w:bookmarkStart w:id="800" w:name="_Toc27406"/>
      <w:bookmarkStart w:id="801" w:name="_Toc5681"/>
      <w:bookmarkStart w:id="802" w:name="_Toc27763"/>
      <w:r>
        <w:rPr>
          <w:rFonts w:ascii="Times New Roman" w:hAnsi="Times New Roman"/>
          <w:color w:val="323232" w:themeColor="text1"/>
          <w14:textFill>
            <w14:solidFill>
              <w14:schemeClr w14:val="tx1"/>
            </w14:solidFill>
          </w14:textFill>
        </w:rPr>
        <w:t xml:space="preserve">6.3  </w:t>
      </w:r>
      <w:r>
        <w:rPr>
          <w:rFonts w:hint="eastAsia" w:ascii="黑体" w:hAnsi="黑体" w:eastAsia="黑体" w:cs="黑体"/>
          <w:b w:val="0"/>
          <w:bCs/>
          <w:color w:val="000000"/>
        </w:rPr>
        <w:t>破碎法</w:t>
      </w:r>
      <w:bookmarkEnd w:id="793"/>
      <w:bookmarkEnd w:id="794"/>
      <w:bookmarkEnd w:id="795"/>
      <w:bookmarkEnd w:id="796"/>
      <w:bookmarkEnd w:id="797"/>
      <w:bookmarkEnd w:id="798"/>
      <w:bookmarkEnd w:id="799"/>
      <w:bookmarkEnd w:id="800"/>
      <w:bookmarkEnd w:id="801"/>
      <w:bookmarkEnd w:id="802"/>
    </w:p>
    <w:p>
      <w:pPr>
        <w:spacing w:line="360" w:lineRule="auto"/>
        <w:rPr>
          <w:szCs w:val="21"/>
        </w:rPr>
      </w:pPr>
      <w:r>
        <w:rPr>
          <w:b/>
          <w:bCs/>
          <w:szCs w:val="21"/>
        </w:rPr>
        <w:t xml:space="preserve">6.3.1 </w:t>
      </w:r>
      <w:r>
        <w:rPr>
          <w:szCs w:val="21"/>
        </w:rPr>
        <w:t xml:space="preserve"> </w:t>
      </w:r>
      <w:r>
        <w:rPr>
          <w:rFonts w:hint="eastAsia"/>
          <w:szCs w:val="21"/>
        </w:rPr>
        <w:t>拔除法适用于桩身抗拉强度大、桩身较短或桩侧阻力较小的既有桩基；破碎法适用于桩身抗拉强度低、桩身较长或桩侧阻力较大的既有桩基。对桩身较长、配筋量上大下小的桩基，也可采用上段拔除、下段破碎的组合式清除方法。</w:t>
      </w:r>
    </w:p>
    <w:p>
      <w:pPr>
        <w:spacing w:line="360" w:lineRule="auto"/>
        <w:rPr>
          <w:szCs w:val="21"/>
        </w:rPr>
      </w:pPr>
      <w:r>
        <w:rPr>
          <w:b/>
          <w:bCs/>
          <w:szCs w:val="21"/>
        </w:rPr>
        <w:t xml:space="preserve">6.3.3~6.3.4  </w:t>
      </w:r>
      <w:r>
        <w:rPr>
          <w:rFonts w:hint="eastAsia"/>
          <w:szCs w:val="21"/>
        </w:rPr>
        <w:t>保证施工安全。</w:t>
      </w:r>
    </w:p>
    <w:p>
      <w:pPr>
        <w:spacing w:line="360" w:lineRule="auto"/>
        <w:rPr>
          <w:szCs w:val="21"/>
        </w:rPr>
      </w:pPr>
      <w:r>
        <w:rPr>
          <w:b/>
          <w:bCs/>
          <w:szCs w:val="21"/>
        </w:rPr>
        <w:t xml:space="preserve">6.3.6 </w:t>
      </w:r>
      <w:r>
        <w:rPr>
          <w:szCs w:val="21"/>
        </w:rPr>
        <w:t xml:space="preserve"> </w:t>
      </w:r>
      <w:r>
        <w:rPr>
          <w:rFonts w:hint="eastAsia"/>
          <w:szCs w:val="21"/>
        </w:rPr>
        <w:t>考虑施工误差，要求钻头直径大于待清除桩基直径，以保证彻底清除。泥浆制备可参照冲钻孔灌注桩施工要求。</w:t>
      </w:r>
    </w:p>
    <w:p>
      <w:pPr>
        <w:spacing w:line="360" w:lineRule="auto"/>
        <w:rPr>
          <w:szCs w:val="21"/>
        </w:rPr>
      </w:pPr>
      <w:r>
        <w:rPr>
          <w:b/>
          <w:bCs/>
          <w:szCs w:val="21"/>
        </w:rPr>
        <w:t xml:space="preserve">6.3.7  </w:t>
      </w:r>
      <w:r>
        <w:rPr>
          <w:rFonts w:hint="eastAsia"/>
          <w:szCs w:val="21"/>
        </w:rPr>
        <w:t>即直接在清除成孔后浇筑混凝土灌注桩。</w:t>
      </w:r>
    </w:p>
    <w:p>
      <w:pPr>
        <w:pStyle w:val="3"/>
        <w:rPr>
          <w:rFonts w:ascii="Times New Roman" w:hAnsi="Times New Roman"/>
          <w:color w:val="323232" w:themeColor="text1"/>
          <w14:textFill>
            <w14:solidFill>
              <w14:schemeClr w14:val="tx1"/>
            </w14:solidFill>
          </w14:textFill>
        </w:rPr>
      </w:pPr>
      <w:bookmarkStart w:id="803" w:name="_Toc14379"/>
      <w:bookmarkStart w:id="804" w:name="_Toc12222"/>
      <w:bookmarkStart w:id="805" w:name="_Toc14158"/>
      <w:bookmarkStart w:id="806" w:name="_Toc26088"/>
      <w:bookmarkStart w:id="807" w:name="_Toc19731"/>
      <w:bookmarkStart w:id="808" w:name="_Toc3634"/>
      <w:bookmarkStart w:id="809" w:name="_Toc23815"/>
      <w:bookmarkStart w:id="810" w:name="_Toc500"/>
      <w:bookmarkStart w:id="811" w:name="_Toc19977"/>
      <w:bookmarkStart w:id="812" w:name="_Toc5127"/>
      <w:r>
        <w:rPr>
          <w:rFonts w:ascii="Times New Roman" w:hAnsi="Times New Roman"/>
          <w:color w:val="323232" w:themeColor="text1"/>
          <w14:textFill>
            <w14:solidFill>
              <w14:schemeClr w14:val="tx1"/>
            </w14:solidFill>
          </w14:textFill>
        </w:rPr>
        <w:t xml:space="preserve">6.5  </w:t>
      </w:r>
      <w:r>
        <w:rPr>
          <w:rFonts w:hint="eastAsia" w:ascii="黑体" w:hAnsi="黑体" w:eastAsia="黑体" w:cs="黑体"/>
          <w:b w:val="0"/>
          <w:bCs/>
          <w:color w:val="000000"/>
        </w:rPr>
        <w:t>桩孔处理</w:t>
      </w:r>
      <w:bookmarkEnd w:id="803"/>
      <w:bookmarkEnd w:id="804"/>
      <w:bookmarkEnd w:id="805"/>
      <w:bookmarkEnd w:id="806"/>
      <w:bookmarkEnd w:id="807"/>
      <w:bookmarkEnd w:id="808"/>
      <w:bookmarkEnd w:id="809"/>
      <w:bookmarkEnd w:id="810"/>
      <w:bookmarkEnd w:id="811"/>
      <w:bookmarkEnd w:id="812"/>
    </w:p>
    <w:p>
      <w:pPr>
        <w:spacing w:line="360" w:lineRule="auto"/>
        <w:rPr>
          <w:szCs w:val="21"/>
        </w:rPr>
      </w:pPr>
      <w:r>
        <w:rPr>
          <w:b/>
          <w:bCs/>
          <w:szCs w:val="21"/>
        </w:rPr>
        <w:t xml:space="preserve">6.5.1~6.5.2  </w:t>
      </w:r>
      <w:r>
        <w:rPr>
          <w:rFonts w:hint="eastAsia"/>
          <w:szCs w:val="21"/>
        </w:rPr>
        <w:t>保证回填质量，回填后土层质量宜稍大于周围原状土。如地层条件较差，应进行抽除积水或泥浆后孔壁塌孔的风险评估。</w:t>
      </w:r>
    </w:p>
    <w:p>
      <w:pPr>
        <w:spacing w:line="360" w:lineRule="auto"/>
        <w:rPr>
          <w:color w:val="323232" w:themeColor="text1"/>
          <w:sz w:val="24"/>
          <w14:textFill>
            <w14:solidFill>
              <w14:schemeClr w14:val="tx1"/>
            </w14:solidFill>
          </w14:textFill>
        </w:rPr>
      </w:pPr>
      <w:r>
        <w:rPr>
          <w:b/>
          <w:bCs/>
          <w:color w:val="323232" w:themeColor="text1"/>
          <w:szCs w:val="21"/>
          <w14:textFill>
            <w14:solidFill>
              <w14:schemeClr w14:val="tx1"/>
            </w14:solidFill>
          </w14:textFill>
        </w:rPr>
        <w:t xml:space="preserve">6.5.3 </w:t>
      </w:r>
      <w:r>
        <w:rPr>
          <w:color w:val="323232" w:themeColor="text1"/>
          <w:szCs w:val="21"/>
          <w14:textFill>
            <w14:solidFill>
              <w14:schemeClr w14:val="tx1"/>
            </w14:solidFill>
          </w14:textFill>
        </w:rPr>
        <w:t xml:space="preserve"> </w:t>
      </w:r>
      <w:r>
        <w:rPr>
          <w:rFonts w:hint="eastAsia"/>
          <w:color w:val="323232" w:themeColor="text1"/>
          <w:szCs w:val="21"/>
          <w14:textFill>
            <w14:solidFill>
              <w14:schemeClr w14:val="tx1"/>
            </w14:solidFill>
          </w14:textFill>
        </w:rPr>
        <w:t>避免塌孔影响周围环境</w:t>
      </w:r>
      <w:r>
        <w:rPr>
          <w:rFonts w:hint="eastAsia"/>
          <w:color w:val="323232" w:themeColor="text1"/>
          <w:sz w:val="24"/>
          <w14:textFill>
            <w14:solidFill>
              <w14:schemeClr w14:val="tx1"/>
            </w14:solidFill>
          </w14:textFill>
        </w:rPr>
        <w:t>。</w:t>
      </w:r>
    </w:p>
    <w:p>
      <w:pPr>
        <w:widowControl/>
        <w:jc w:val="left"/>
        <w:rPr>
          <w:sz w:val="24"/>
        </w:rPr>
      </w:pPr>
      <w:r>
        <w:rPr>
          <w:sz w:val="24"/>
        </w:rPr>
        <w:br w:type="page"/>
      </w:r>
    </w:p>
    <w:p>
      <w:pPr>
        <w:spacing w:line="360" w:lineRule="auto"/>
        <w:jc w:val="center"/>
        <w:outlineLvl w:val="0"/>
        <w:rPr>
          <w:rFonts w:eastAsia="黑体"/>
          <w:color w:val="323232" w:themeColor="text1"/>
          <w:kern w:val="44"/>
          <w:sz w:val="32"/>
          <w:szCs w:val="32"/>
          <w14:textFill>
            <w14:solidFill>
              <w14:schemeClr w14:val="tx1"/>
            </w14:solidFill>
          </w14:textFill>
        </w:rPr>
      </w:pPr>
      <w:bookmarkStart w:id="813" w:name="_Toc19426"/>
      <w:bookmarkStart w:id="814" w:name="_Toc19763"/>
      <w:bookmarkStart w:id="815" w:name="_Toc1089"/>
      <w:bookmarkStart w:id="816" w:name="_Toc30094"/>
      <w:bookmarkStart w:id="817" w:name="_Toc23755"/>
      <w:bookmarkStart w:id="818" w:name="_Toc11224"/>
      <w:bookmarkStart w:id="819" w:name="_Toc14012"/>
      <w:bookmarkStart w:id="820" w:name="_Toc17033"/>
      <w:bookmarkStart w:id="821" w:name="_Toc24873"/>
      <w:bookmarkStart w:id="822" w:name="_Toc15346"/>
      <w:r>
        <w:rPr>
          <w:rFonts w:eastAsia="黑体"/>
          <w:color w:val="323232" w:themeColor="text1"/>
          <w:kern w:val="44"/>
          <w:sz w:val="32"/>
          <w:szCs w:val="32"/>
          <w14:textFill>
            <w14:solidFill>
              <w14:schemeClr w14:val="tx1"/>
            </w14:solidFill>
          </w14:textFill>
        </w:rPr>
        <w:t xml:space="preserve">7 </w:t>
      </w:r>
      <w:r>
        <w:rPr>
          <w:rFonts w:hint="eastAsia" w:eastAsia="黑体"/>
          <w:color w:val="323232" w:themeColor="text1"/>
          <w:kern w:val="44"/>
          <w:sz w:val="32"/>
          <w:szCs w:val="32"/>
          <w14:textFill>
            <w14:solidFill>
              <w14:schemeClr w14:val="tx1"/>
            </w14:solidFill>
          </w14:textFill>
        </w:rPr>
        <w:t>检验与验收</w:t>
      </w:r>
      <w:bookmarkEnd w:id="813"/>
      <w:bookmarkEnd w:id="814"/>
      <w:bookmarkEnd w:id="815"/>
      <w:bookmarkEnd w:id="816"/>
      <w:bookmarkEnd w:id="817"/>
      <w:bookmarkEnd w:id="818"/>
      <w:bookmarkEnd w:id="819"/>
      <w:bookmarkEnd w:id="820"/>
      <w:bookmarkEnd w:id="821"/>
      <w:bookmarkEnd w:id="822"/>
    </w:p>
    <w:p>
      <w:pPr>
        <w:spacing w:line="360" w:lineRule="auto"/>
        <w:rPr>
          <w:szCs w:val="21"/>
        </w:rPr>
      </w:pPr>
      <w:r>
        <w:rPr>
          <w:b/>
          <w:bCs/>
          <w:szCs w:val="21"/>
        </w:rPr>
        <w:t xml:space="preserve">7.0.2  </w:t>
      </w:r>
      <w:r>
        <w:rPr>
          <w:rFonts w:hint="eastAsia"/>
          <w:szCs w:val="21"/>
        </w:rPr>
        <w:t>清除后的检验批划分宜结合拟建建筑考虑。</w:t>
      </w:r>
    </w:p>
    <w:p>
      <w:pPr>
        <w:spacing w:line="360" w:lineRule="auto"/>
        <w:rPr>
          <w:szCs w:val="21"/>
        </w:rPr>
      </w:pPr>
      <w:r>
        <w:rPr>
          <w:b/>
          <w:bCs/>
          <w:szCs w:val="21"/>
        </w:rPr>
        <w:t xml:space="preserve">7.0.4  </w:t>
      </w:r>
      <w:r>
        <w:rPr>
          <w:rFonts w:hint="eastAsia"/>
          <w:szCs w:val="21"/>
        </w:rPr>
        <w:t>回填后土层质量宜稍大于周围原状土。</w:t>
      </w:r>
      <w:r>
        <w:rPr>
          <w:rFonts w:hint="eastAsia"/>
          <w:color w:val="323232" w:themeColor="text1"/>
          <w:szCs w:val="21"/>
          <w14:textFill>
            <w14:solidFill>
              <w14:schemeClr w14:val="tx1"/>
            </w14:solidFill>
          </w14:textFill>
        </w:rPr>
        <w:t>可通过锤击数判定回填土的密实程度，判定方法可按照现行国家标准《岩土工程勘察规范》</w:t>
      </w:r>
      <w:r>
        <w:rPr>
          <w:color w:val="323232" w:themeColor="text1"/>
          <w:szCs w:val="21"/>
          <w14:textFill>
            <w14:solidFill>
              <w14:schemeClr w14:val="tx1"/>
            </w14:solidFill>
          </w14:textFill>
        </w:rPr>
        <w:t>GB50021</w:t>
      </w:r>
      <w:r>
        <w:rPr>
          <w:rFonts w:hint="eastAsia"/>
          <w:color w:val="323232" w:themeColor="text1"/>
          <w:szCs w:val="21"/>
          <w14:textFill>
            <w14:solidFill>
              <w14:schemeClr w14:val="tx1"/>
            </w14:solidFill>
          </w14:textFill>
        </w:rPr>
        <w:t>执行。</w:t>
      </w:r>
    </w:p>
    <w:p>
      <w:pPr>
        <w:spacing w:line="360" w:lineRule="auto"/>
        <w:ind w:firstLine="420" w:firstLineChars="200"/>
        <w:rPr>
          <w:color w:val="323232" w:themeColor="text1"/>
          <w:szCs w:val="21"/>
          <w14:textFill>
            <w14:solidFill>
              <w14:schemeClr w14:val="tx1"/>
            </w14:solidFill>
          </w14:textFill>
        </w:rPr>
      </w:pPr>
      <w:r>
        <w:rPr>
          <w:rFonts w:hint="eastAsia"/>
          <w:szCs w:val="21"/>
        </w:rPr>
        <w:t>圆锥动力触探无法打入或锤击数异常大（偏离回填土密实度所对应的击数）时表明土中残留混凝土块未清除干净。</w:t>
      </w:r>
    </w:p>
    <w:p>
      <w:pPr>
        <w:widowControl/>
        <w:jc w:val="left"/>
        <w:rPr>
          <w:sz w:val="24"/>
        </w:rPr>
      </w:pPr>
    </w:p>
    <w:bookmarkEnd w:id="657"/>
    <w:p>
      <w:pPr>
        <w:snapToGrid w:val="0"/>
        <w:spacing w:line="360" w:lineRule="auto"/>
        <w:rPr>
          <w:sz w:val="24"/>
        </w:rPr>
      </w:pPr>
    </w:p>
    <w:sectPr>
      <w:pgSz w:w="7937" w:h="11906"/>
      <w:pgMar w:top="1134" w:right="1134" w:bottom="1134" w:left="1134"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1691"/>
        <w:tab w:val="clear" w:pos="4153"/>
      </w:tabs>
    </w:pPr>
    <w:r>
      <w:rPr>
        <w:sz w:val="21"/>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r>
      <w:rPr>
        <w:rFonts w:hint="eastAsia"/>
        <w:lang w:eastAsia="zh-CN"/>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28270" cy="1828800"/>
              <wp:effectExtent l="0" t="0" r="0" b="0"/>
              <wp:wrapNone/>
              <wp:docPr id="6" name="文本框 2051"/>
              <wp:cNvGraphicFramePr/>
              <a:graphic xmlns:a="http://schemas.openxmlformats.org/drawingml/2006/main">
                <a:graphicData uri="http://schemas.microsoft.com/office/word/2010/wordprocessingShape">
                  <wps:wsp>
                    <wps:cNvSpPr txBox="1"/>
                    <wps:spPr>
                      <a:xfrm>
                        <a:off x="0" y="0"/>
                        <a:ext cx="12827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vert="horz" wrap="square" lIns="0" tIns="0" rIns="0" bIns="0" anchor="t">
                      <a:spAutoFit/>
                    </wps:bodyPr>
                  </wps:wsp>
                </a:graphicData>
              </a:graphic>
            </wp:anchor>
          </w:drawing>
        </mc:Choice>
        <mc:Fallback>
          <w:pict>
            <v:shape id="文本框 2051" o:spid="_x0000_s1026" o:spt="202" type="#_x0000_t202" style="position:absolute;left:0pt;margin-top:0pt;height:144pt;width:10.1pt;mso-position-horizontal:outside;mso-position-horizontal-relative:margin;z-index:251659264;mso-width-relative:page;mso-height-relative:page;" filled="f" stroked="f" coordsize="21600,21600" o:gfxdata="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IA5FB9EAAAAEAQAADwAAAAAAAAABACAAAAAiAAAAZHJzL2Rvd25yZXYueG1s&#10;UEsBAhQAFAAAAAgAh07iQMigrEjGAQAAYwMAAA4AAAAAAAAAAQAgAAAAIAEAAGRycy9lMm9Eb2Mu&#10;eG1sUEsFBgAAAAAGAAYAWQEAAFgFA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28270" cy="1828800"/>
              <wp:effectExtent l="0" t="0" r="0" b="0"/>
              <wp:wrapNone/>
              <wp:docPr id="5" name="文本框 2051"/>
              <wp:cNvGraphicFramePr/>
              <a:graphic xmlns:a="http://schemas.openxmlformats.org/drawingml/2006/main">
                <a:graphicData uri="http://schemas.microsoft.com/office/word/2010/wordprocessingShape">
                  <wps:wsp>
                    <wps:cNvSpPr txBox="1"/>
                    <wps:spPr>
                      <a:xfrm>
                        <a:off x="0" y="0"/>
                        <a:ext cx="128270" cy="1828800"/>
                      </a:xfrm>
                      <a:prstGeom prst="rect">
                        <a:avLst/>
                      </a:prstGeom>
                      <a:noFill/>
                      <a:ln w="9525">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vert="horz" wrap="square" lIns="0" tIns="0" rIns="0" bIns="0" anchor="t">
                      <a:spAutoFit/>
                    </wps:bodyPr>
                  </wps:wsp>
                </a:graphicData>
              </a:graphic>
            </wp:anchor>
          </w:drawing>
        </mc:Choice>
        <mc:Fallback>
          <w:pict>
            <v:shape id="文本框 2051" o:spid="_x0000_s1026" o:spt="202" type="#_x0000_t202" style="position:absolute;left:0pt;margin-top:0pt;height:144pt;width:10.1pt;mso-position-horizontal:outside;mso-position-horizontal-relative:margin;z-index:251660288;mso-width-relative:page;mso-height-relative:page;" filled="f" stroked="f" coordsize="21600,21600" o:gfxdata="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CAORQfRAAAABAEAAA8AAAAAAAAAAQAgAAAAIgAAAGRycy9kb3ducmV2LnhtbFBL&#10;AQIUABQAAAAIAIdO4kDFGDmgxAEAAGMDAAAOAAAAAAAAAAEAIAAAACABAABkcnMvZTJvRG9jLnht&#10;bFBLBQYAAAAABgAGAFkBAABWBQAA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D859EA"/>
    <w:multiLevelType w:val="multilevel"/>
    <w:tmpl w:val="53D859EA"/>
    <w:lvl w:ilvl="0" w:tentative="0">
      <w:start w:val="2"/>
      <w:numFmt w:val="decimal"/>
      <w:pStyle w:val="23"/>
      <w:lvlText w:val="%1"/>
      <w:lvlJc w:val="left"/>
      <w:pPr>
        <w:tabs>
          <w:tab w:val="left" w:pos="839"/>
        </w:tabs>
        <w:ind w:left="839" w:hanging="419"/>
      </w:pPr>
      <w:rPr>
        <w:rFonts w:hint="default" w:ascii="Times New Roman" w:hAnsi="Times New Roman" w:eastAsia="宋体" w:cs="Times New Roman"/>
        <w:b/>
        <w:i w:val="0"/>
        <w:sz w:val="21"/>
        <w:szCs w:val="21"/>
      </w:rPr>
    </w:lvl>
    <w:lvl w:ilvl="1" w:tentative="0">
      <w:start w:val="1"/>
      <w:numFmt w:val="decimal"/>
      <w:lvlText w:val="%2)"/>
      <w:lvlJc w:val="left"/>
      <w:pPr>
        <w:tabs>
          <w:tab w:val="left" w:pos="1259"/>
        </w:tabs>
        <w:ind w:left="1259" w:hanging="420"/>
      </w:pPr>
      <w:rPr>
        <w:rFonts w:hint="default" w:ascii="Times New Roman" w:hAnsi="Times New Roman" w:eastAsia="宋体" w:cs="Times New Roman"/>
        <w:b/>
        <w:i w:val="0"/>
        <w:sz w:val="20"/>
      </w:rPr>
    </w:lvl>
    <w:lvl w:ilvl="2" w:tentative="0">
      <w:start w:val="1"/>
      <w:numFmt w:val="decimal"/>
      <w:lvlText w:val="(%3)"/>
      <w:lvlJc w:val="left"/>
      <w:pPr>
        <w:tabs>
          <w:tab w:val="left" w:pos="0"/>
        </w:tabs>
        <w:ind w:left="1678" w:hanging="419"/>
      </w:pPr>
      <w:rPr>
        <w:rFonts w:hint="eastAsia" w:ascii="宋体" w:hAnsi="宋体" w:eastAsia="宋体" w:cs="Times New Roman"/>
        <w:b w:val="0"/>
        <w:i w:val="0"/>
        <w:sz w:val="21"/>
        <w:szCs w:val="21"/>
      </w:rPr>
    </w:lvl>
    <w:lvl w:ilvl="3" w:tentative="0">
      <w:start w:val="1"/>
      <w:numFmt w:val="decimal"/>
      <w:lvlText w:val="%4."/>
      <w:lvlJc w:val="left"/>
      <w:pPr>
        <w:tabs>
          <w:tab w:val="left" w:pos="2098"/>
        </w:tabs>
        <w:ind w:left="2098" w:hanging="420"/>
      </w:pPr>
      <w:rPr>
        <w:rFonts w:hint="eastAsia" w:cs="Times New Roman"/>
      </w:rPr>
    </w:lvl>
    <w:lvl w:ilvl="4" w:tentative="0">
      <w:start w:val="1"/>
      <w:numFmt w:val="lowerLetter"/>
      <w:lvlText w:val="%5)"/>
      <w:lvlJc w:val="left"/>
      <w:pPr>
        <w:tabs>
          <w:tab w:val="left" w:pos="2517"/>
        </w:tabs>
        <w:ind w:left="2517" w:hanging="419"/>
      </w:pPr>
      <w:rPr>
        <w:rFonts w:hint="eastAsia" w:cs="Times New Roman"/>
      </w:rPr>
    </w:lvl>
    <w:lvl w:ilvl="5" w:tentative="0">
      <w:start w:val="1"/>
      <w:numFmt w:val="lowerRoman"/>
      <w:lvlText w:val="%6."/>
      <w:lvlJc w:val="right"/>
      <w:pPr>
        <w:tabs>
          <w:tab w:val="left" w:pos="2942"/>
        </w:tabs>
        <w:ind w:left="2937" w:hanging="420"/>
      </w:pPr>
      <w:rPr>
        <w:rFonts w:hint="eastAsia" w:cs="Times New Roman"/>
      </w:rPr>
    </w:lvl>
    <w:lvl w:ilvl="6" w:tentative="0">
      <w:start w:val="1"/>
      <w:numFmt w:val="decimal"/>
      <w:lvlText w:val="%7."/>
      <w:lvlJc w:val="left"/>
      <w:pPr>
        <w:tabs>
          <w:tab w:val="left" w:pos="3362"/>
        </w:tabs>
        <w:ind w:left="3356" w:hanging="414"/>
      </w:pPr>
      <w:rPr>
        <w:rFonts w:hint="eastAsia" w:cs="Times New Roman"/>
      </w:rPr>
    </w:lvl>
    <w:lvl w:ilvl="7" w:tentative="0">
      <w:start w:val="1"/>
      <w:numFmt w:val="lowerLetter"/>
      <w:lvlText w:val="%8)"/>
      <w:lvlJc w:val="left"/>
      <w:pPr>
        <w:tabs>
          <w:tab w:val="left" w:pos="3781"/>
        </w:tabs>
        <w:ind w:left="3776" w:hanging="414"/>
      </w:pPr>
      <w:rPr>
        <w:rFonts w:hint="eastAsia" w:cs="Times New Roman"/>
      </w:rPr>
    </w:lvl>
    <w:lvl w:ilvl="8" w:tentative="0">
      <w:start w:val="1"/>
      <w:numFmt w:val="lowerRoman"/>
      <w:lvlText w:val="%9."/>
      <w:lvlJc w:val="right"/>
      <w:pPr>
        <w:tabs>
          <w:tab w:val="left" w:pos="4201"/>
        </w:tabs>
        <w:ind w:left="4201" w:hanging="420"/>
      </w:pPr>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trackRevisions w:val="1"/>
  <w:documentProtection w:enforcement="0"/>
  <w:defaultTabStop w:val="420"/>
  <w:drawingGridVerticalSpacing w:val="159"/>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14B5B"/>
    <w:rsid w:val="00025410"/>
    <w:rsid w:val="000554F7"/>
    <w:rsid w:val="000C37F0"/>
    <w:rsid w:val="00145914"/>
    <w:rsid w:val="00172A27"/>
    <w:rsid w:val="00202A89"/>
    <w:rsid w:val="00210A89"/>
    <w:rsid w:val="0022545F"/>
    <w:rsid w:val="00247EB2"/>
    <w:rsid w:val="00274271"/>
    <w:rsid w:val="00294BBE"/>
    <w:rsid w:val="002A7DB0"/>
    <w:rsid w:val="002B3A96"/>
    <w:rsid w:val="002F5445"/>
    <w:rsid w:val="003015B7"/>
    <w:rsid w:val="003216B9"/>
    <w:rsid w:val="003311BE"/>
    <w:rsid w:val="003619BC"/>
    <w:rsid w:val="00375653"/>
    <w:rsid w:val="003B50A4"/>
    <w:rsid w:val="003B689B"/>
    <w:rsid w:val="003C08A4"/>
    <w:rsid w:val="003C1830"/>
    <w:rsid w:val="00440C9C"/>
    <w:rsid w:val="004455B9"/>
    <w:rsid w:val="00447F21"/>
    <w:rsid w:val="00451159"/>
    <w:rsid w:val="004C6E62"/>
    <w:rsid w:val="004C7D66"/>
    <w:rsid w:val="00500114"/>
    <w:rsid w:val="0052509F"/>
    <w:rsid w:val="005375AB"/>
    <w:rsid w:val="0057222D"/>
    <w:rsid w:val="005A0418"/>
    <w:rsid w:val="005C4AD9"/>
    <w:rsid w:val="00617FAF"/>
    <w:rsid w:val="00623D31"/>
    <w:rsid w:val="006308D8"/>
    <w:rsid w:val="00641FB4"/>
    <w:rsid w:val="0064246D"/>
    <w:rsid w:val="006A1223"/>
    <w:rsid w:val="006D4750"/>
    <w:rsid w:val="006F464B"/>
    <w:rsid w:val="00713D96"/>
    <w:rsid w:val="00771788"/>
    <w:rsid w:val="007A1EB9"/>
    <w:rsid w:val="007C7B22"/>
    <w:rsid w:val="007C7F80"/>
    <w:rsid w:val="0084501F"/>
    <w:rsid w:val="00845EE8"/>
    <w:rsid w:val="008B04F0"/>
    <w:rsid w:val="008B5F38"/>
    <w:rsid w:val="008B67BD"/>
    <w:rsid w:val="008C7252"/>
    <w:rsid w:val="00921675"/>
    <w:rsid w:val="009222E4"/>
    <w:rsid w:val="009673F0"/>
    <w:rsid w:val="009D4001"/>
    <w:rsid w:val="00A105B7"/>
    <w:rsid w:val="00A167CB"/>
    <w:rsid w:val="00A25B9B"/>
    <w:rsid w:val="00A5001D"/>
    <w:rsid w:val="00A50FAD"/>
    <w:rsid w:val="00A54DF4"/>
    <w:rsid w:val="00A61323"/>
    <w:rsid w:val="00AD7CE0"/>
    <w:rsid w:val="00B10DD2"/>
    <w:rsid w:val="00B11548"/>
    <w:rsid w:val="00B217B5"/>
    <w:rsid w:val="00B24FCC"/>
    <w:rsid w:val="00B26E07"/>
    <w:rsid w:val="00B5104F"/>
    <w:rsid w:val="00BB2474"/>
    <w:rsid w:val="00BC42CB"/>
    <w:rsid w:val="00BE0C97"/>
    <w:rsid w:val="00BF19A0"/>
    <w:rsid w:val="00C619B7"/>
    <w:rsid w:val="00C86737"/>
    <w:rsid w:val="00C87BC8"/>
    <w:rsid w:val="00C919B2"/>
    <w:rsid w:val="00CF6E0A"/>
    <w:rsid w:val="00D055D6"/>
    <w:rsid w:val="00D252C7"/>
    <w:rsid w:val="00D259E0"/>
    <w:rsid w:val="00D34C98"/>
    <w:rsid w:val="00D459A1"/>
    <w:rsid w:val="00D66E17"/>
    <w:rsid w:val="00DA67B1"/>
    <w:rsid w:val="00DB4D61"/>
    <w:rsid w:val="00DE0D13"/>
    <w:rsid w:val="00DE2FA2"/>
    <w:rsid w:val="00E002FB"/>
    <w:rsid w:val="00E769D8"/>
    <w:rsid w:val="00E77E28"/>
    <w:rsid w:val="00EA3E58"/>
    <w:rsid w:val="00EB21A5"/>
    <w:rsid w:val="00ED3382"/>
    <w:rsid w:val="00EE6406"/>
    <w:rsid w:val="00EF2B50"/>
    <w:rsid w:val="00F457A2"/>
    <w:rsid w:val="00F83717"/>
    <w:rsid w:val="00F86264"/>
    <w:rsid w:val="00F93F7D"/>
    <w:rsid w:val="00F946B8"/>
    <w:rsid w:val="00FB482E"/>
    <w:rsid w:val="00FE5C3A"/>
    <w:rsid w:val="00FE7D5B"/>
    <w:rsid w:val="01015DAE"/>
    <w:rsid w:val="0101779B"/>
    <w:rsid w:val="01380C70"/>
    <w:rsid w:val="01437A89"/>
    <w:rsid w:val="0147629C"/>
    <w:rsid w:val="01507BBF"/>
    <w:rsid w:val="01730EE1"/>
    <w:rsid w:val="01767D04"/>
    <w:rsid w:val="0179176C"/>
    <w:rsid w:val="018E472E"/>
    <w:rsid w:val="01994E0A"/>
    <w:rsid w:val="019A4D9E"/>
    <w:rsid w:val="01A0726C"/>
    <w:rsid w:val="01B01AA1"/>
    <w:rsid w:val="01C6505C"/>
    <w:rsid w:val="01CA617F"/>
    <w:rsid w:val="01CB2BBB"/>
    <w:rsid w:val="01CE4D9A"/>
    <w:rsid w:val="01DE4557"/>
    <w:rsid w:val="01DF3DDE"/>
    <w:rsid w:val="01E74F82"/>
    <w:rsid w:val="01FA2505"/>
    <w:rsid w:val="01FF3DC9"/>
    <w:rsid w:val="02002F9F"/>
    <w:rsid w:val="020C7A8B"/>
    <w:rsid w:val="020F14BA"/>
    <w:rsid w:val="021042AF"/>
    <w:rsid w:val="021463FC"/>
    <w:rsid w:val="02153076"/>
    <w:rsid w:val="02304A5D"/>
    <w:rsid w:val="02450259"/>
    <w:rsid w:val="02466CEF"/>
    <w:rsid w:val="024A46E2"/>
    <w:rsid w:val="02544CD7"/>
    <w:rsid w:val="0279451C"/>
    <w:rsid w:val="0284075D"/>
    <w:rsid w:val="02D868B5"/>
    <w:rsid w:val="02DF002D"/>
    <w:rsid w:val="02DF5B28"/>
    <w:rsid w:val="02E50D5E"/>
    <w:rsid w:val="02EA681D"/>
    <w:rsid w:val="02F720ED"/>
    <w:rsid w:val="02FD792F"/>
    <w:rsid w:val="030D1362"/>
    <w:rsid w:val="030E7B21"/>
    <w:rsid w:val="031D0F9A"/>
    <w:rsid w:val="031E0281"/>
    <w:rsid w:val="03227A79"/>
    <w:rsid w:val="03306445"/>
    <w:rsid w:val="034953C8"/>
    <w:rsid w:val="035E5CD7"/>
    <w:rsid w:val="03757DFB"/>
    <w:rsid w:val="03B82881"/>
    <w:rsid w:val="03BA3BBD"/>
    <w:rsid w:val="03C74AA8"/>
    <w:rsid w:val="03E65172"/>
    <w:rsid w:val="04067D9D"/>
    <w:rsid w:val="041A610F"/>
    <w:rsid w:val="04230E63"/>
    <w:rsid w:val="042477BD"/>
    <w:rsid w:val="042605C0"/>
    <w:rsid w:val="04295B2B"/>
    <w:rsid w:val="043C18B8"/>
    <w:rsid w:val="043E1C1F"/>
    <w:rsid w:val="04450BB6"/>
    <w:rsid w:val="044A1FF6"/>
    <w:rsid w:val="046C5541"/>
    <w:rsid w:val="047033C7"/>
    <w:rsid w:val="04881BB5"/>
    <w:rsid w:val="04936E6B"/>
    <w:rsid w:val="04974DAC"/>
    <w:rsid w:val="049B558C"/>
    <w:rsid w:val="04A44323"/>
    <w:rsid w:val="04B77010"/>
    <w:rsid w:val="04C20FC2"/>
    <w:rsid w:val="04CA69A5"/>
    <w:rsid w:val="04CC7568"/>
    <w:rsid w:val="04EC18AA"/>
    <w:rsid w:val="04F22917"/>
    <w:rsid w:val="05295C76"/>
    <w:rsid w:val="052A3C58"/>
    <w:rsid w:val="052B7E65"/>
    <w:rsid w:val="05304B5E"/>
    <w:rsid w:val="05366538"/>
    <w:rsid w:val="05367F09"/>
    <w:rsid w:val="053C7586"/>
    <w:rsid w:val="054838C4"/>
    <w:rsid w:val="055C27C0"/>
    <w:rsid w:val="05672718"/>
    <w:rsid w:val="05753F49"/>
    <w:rsid w:val="057E6698"/>
    <w:rsid w:val="05842522"/>
    <w:rsid w:val="058849F6"/>
    <w:rsid w:val="058B48E8"/>
    <w:rsid w:val="05920493"/>
    <w:rsid w:val="05981D1F"/>
    <w:rsid w:val="05A555A9"/>
    <w:rsid w:val="05B5624D"/>
    <w:rsid w:val="05B71263"/>
    <w:rsid w:val="05C007D0"/>
    <w:rsid w:val="05C12487"/>
    <w:rsid w:val="05C73D91"/>
    <w:rsid w:val="05EA73AF"/>
    <w:rsid w:val="06075628"/>
    <w:rsid w:val="061B6034"/>
    <w:rsid w:val="06321F72"/>
    <w:rsid w:val="064273A9"/>
    <w:rsid w:val="06436714"/>
    <w:rsid w:val="06482D8B"/>
    <w:rsid w:val="064D72FB"/>
    <w:rsid w:val="06502315"/>
    <w:rsid w:val="06571FFA"/>
    <w:rsid w:val="065815A4"/>
    <w:rsid w:val="066F2181"/>
    <w:rsid w:val="067C31E4"/>
    <w:rsid w:val="0686310C"/>
    <w:rsid w:val="068925D3"/>
    <w:rsid w:val="069342D3"/>
    <w:rsid w:val="06CC2142"/>
    <w:rsid w:val="06D20281"/>
    <w:rsid w:val="06D95920"/>
    <w:rsid w:val="06DF0226"/>
    <w:rsid w:val="06E33615"/>
    <w:rsid w:val="06E65504"/>
    <w:rsid w:val="06E80C81"/>
    <w:rsid w:val="06EB299E"/>
    <w:rsid w:val="06F51CC5"/>
    <w:rsid w:val="070A78D8"/>
    <w:rsid w:val="071B46F6"/>
    <w:rsid w:val="073259E5"/>
    <w:rsid w:val="0734736E"/>
    <w:rsid w:val="073C5136"/>
    <w:rsid w:val="07434FA8"/>
    <w:rsid w:val="07500980"/>
    <w:rsid w:val="07553F2E"/>
    <w:rsid w:val="07641476"/>
    <w:rsid w:val="07734EA8"/>
    <w:rsid w:val="07847CF6"/>
    <w:rsid w:val="07BB0D74"/>
    <w:rsid w:val="07D56B8B"/>
    <w:rsid w:val="07DB2C0D"/>
    <w:rsid w:val="07EA01B8"/>
    <w:rsid w:val="07F721F6"/>
    <w:rsid w:val="07FB45DD"/>
    <w:rsid w:val="080B1176"/>
    <w:rsid w:val="08105EC3"/>
    <w:rsid w:val="082F1C6B"/>
    <w:rsid w:val="085665FE"/>
    <w:rsid w:val="086C2C8F"/>
    <w:rsid w:val="088B7834"/>
    <w:rsid w:val="0891098B"/>
    <w:rsid w:val="08981B42"/>
    <w:rsid w:val="08B83C2F"/>
    <w:rsid w:val="08BB73AC"/>
    <w:rsid w:val="08CB1C58"/>
    <w:rsid w:val="08D04540"/>
    <w:rsid w:val="08EC508A"/>
    <w:rsid w:val="08EE747B"/>
    <w:rsid w:val="08F63E75"/>
    <w:rsid w:val="09067414"/>
    <w:rsid w:val="090E41AA"/>
    <w:rsid w:val="090E5ED7"/>
    <w:rsid w:val="0938344E"/>
    <w:rsid w:val="09565141"/>
    <w:rsid w:val="095C1398"/>
    <w:rsid w:val="0962127A"/>
    <w:rsid w:val="09626EA5"/>
    <w:rsid w:val="096C5822"/>
    <w:rsid w:val="097E5E90"/>
    <w:rsid w:val="098061CE"/>
    <w:rsid w:val="098D421D"/>
    <w:rsid w:val="099C02AB"/>
    <w:rsid w:val="09A96E69"/>
    <w:rsid w:val="09B57802"/>
    <w:rsid w:val="09BA45F1"/>
    <w:rsid w:val="09BC5743"/>
    <w:rsid w:val="09D02372"/>
    <w:rsid w:val="09D90F87"/>
    <w:rsid w:val="09EA22CC"/>
    <w:rsid w:val="09EF16C4"/>
    <w:rsid w:val="0A010D5B"/>
    <w:rsid w:val="0A045E6A"/>
    <w:rsid w:val="0A0D2C96"/>
    <w:rsid w:val="0A0F396A"/>
    <w:rsid w:val="0A1551B1"/>
    <w:rsid w:val="0A215070"/>
    <w:rsid w:val="0A300417"/>
    <w:rsid w:val="0A3C535D"/>
    <w:rsid w:val="0A6859ED"/>
    <w:rsid w:val="0A70752E"/>
    <w:rsid w:val="0A72313D"/>
    <w:rsid w:val="0AA45128"/>
    <w:rsid w:val="0AA560D7"/>
    <w:rsid w:val="0AA66778"/>
    <w:rsid w:val="0AAB4D89"/>
    <w:rsid w:val="0AAF5C27"/>
    <w:rsid w:val="0AB707CB"/>
    <w:rsid w:val="0AB84706"/>
    <w:rsid w:val="0ABE5B2E"/>
    <w:rsid w:val="0AC4333F"/>
    <w:rsid w:val="0AD0023B"/>
    <w:rsid w:val="0AD50F54"/>
    <w:rsid w:val="0ADE1E28"/>
    <w:rsid w:val="0B066C03"/>
    <w:rsid w:val="0B0A466E"/>
    <w:rsid w:val="0B105262"/>
    <w:rsid w:val="0B14280D"/>
    <w:rsid w:val="0B177C9E"/>
    <w:rsid w:val="0B2F706E"/>
    <w:rsid w:val="0B421EB5"/>
    <w:rsid w:val="0B666F45"/>
    <w:rsid w:val="0B6A6D30"/>
    <w:rsid w:val="0B706ECD"/>
    <w:rsid w:val="0B826BAC"/>
    <w:rsid w:val="0B865275"/>
    <w:rsid w:val="0B8A0ACC"/>
    <w:rsid w:val="0BB9315A"/>
    <w:rsid w:val="0BC370BD"/>
    <w:rsid w:val="0BE23DAB"/>
    <w:rsid w:val="0C0478DC"/>
    <w:rsid w:val="0C1735DA"/>
    <w:rsid w:val="0C2A27EC"/>
    <w:rsid w:val="0C33158C"/>
    <w:rsid w:val="0C3D4CDF"/>
    <w:rsid w:val="0C427045"/>
    <w:rsid w:val="0C5014E2"/>
    <w:rsid w:val="0C533C3A"/>
    <w:rsid w:val="0C5F2A70"/>
    <w:rsid w:val="0C661BF7"/>
    <w:rsid w:val="0C685772"/>
    <w:rsid w:val="0C6C2D15"/>
    <w:rsid w:val="0C7B1004"/>
    <w:rsid w:val="0C7C3850"/>
    <w:rsid w:val="0C855F28"/>
    <w:rsid w:val="0C8E6368"/>
    <w:rsid w:val="0C944BC6"/>
    <w:rsid w:val="0C984F58"/>
    <w:rsid w:val="0C991221"/>
    <w:rsid w:val="0CDC7222"/>
    <w:rsid w:val="0CE9626A"/>
    <w:rsid w:val="0D054EAB"/>
    <w:rsid w:val="0D163E3C"/>
    <w:rsid w:val="0D1D0A07"/>
    <w:rsid w:val="0D4F3107"/>
    <w:rsid w:val="0D664AF6"/>
    <w:rsid w:val="0D86077B"/>
    <w:rsid w:val="0D927424"/>
    <w:rsid w:val="0DA156E8"/>
    <w:rsid w:val="0DB40C77"/>
    <w:rsid w:val="0DB95204"/>
    <w:rsid w:val="0DBA042B"/>
    <w:rsid w:val="0DBD567C"/>
    <w:rsid w:val="0DC570CC"/>
    <w:rsid w:val="0DC94EC3"/>
    <w:rsid w:val="0DCD58E4"/>
    <w:rsid w:val="0DD1077D"/>
    <w:rsid w:val="0DD152D3"/>
    <w:rsid w:val="0DDD2C4C"/>
    <w:rsid w:val="0DE46A63"/>
    <w:rsid w:val="0E083451"/>
    <w:rsid w:val="0E133C4E"/>
    <w:rsid w:val="0E1A5AD0"/>
    <w:rsid w:val="0E361AE8"/>
    <w:rsid w:val="0E4B0D40"/>
    <w:rsid w:val="0E5F4787"/>
    <w:rsid w:val="0E5F54CC"/>
    <w:rsid w:val="0E7F192B"/>
    <w:rsid w:val="0E8866D8"/>
    <w:rsid w:val="0E911AEE"/>
    <w:rsid w:val="0E9E6760"/>
    <w:rsid w:val="0EA93835"/>
    <w:rsid w:val="0EAE1B4E"/>
    <w:rsid w:val="0EB327B9"/>
    <w:rsid w:val="0ECD062E"/>
    <w:rsid w:val="0ED37E72"/>
    <w:rsid w:val="0EDA6678"/>
    <w:rsid w:val="0EDF7C53"/>
    <w:rsid w:val="0EFE5694"/>
    <w:rsid w:val="0F010744"/>
    <w:rsid w:val="0F123BF0"/>
    <w:rsid w:val="0F1A6D1A"/>
    <w:rsid w:val="0F1E796F"/>
    <w:rsid w:val="0F20665F"/>
    <w:rsid w:val="0F234095"/>
    <w:rsid w:val="0F2559E5"/>
    <w:rsid w:val="0F273866"/>
    <w:rsid w:val="0F2C4887"/>
    <w:rsid w:val="0F464F32"/>
    <w:rsid w:val="0F655595"/>
    <w:rsid w:val="0F721B75"/>
    <w:rsid w:val="0F8307D3"/>
    <w:rsid w:val="0F9C12DE"/>
    <w:rsid w:val="0FBE2FCE"/>
    <w:rsid w:val="0FC04388"/>
    <w:rsid w:val="0FC66414"/>
    <w:rsid w:val="0FCF1BD6"/>
    <w:rsid w:val="0FD840D9"/>
    <w:rsid w:val="0FDC0251"/>
    <w:rsid w:val="0FFF70D2"/>
    <w:rsid w:val="10225A6E"/>
    <w:rsid w:val="10283E7E"/>
    <w:rsid w:val="1031153F"/>
    <w:rsid w:val="10371AAE"/>
    <w:rsid w:val="10443757"/>
    <w:rsid w:val="107625ED"/>
    <w:rsid w:val="10781871"/>
    <w:rsid w:val="10864916"/>
    <w:rsid w:val="108E3044"/>
    <w:rsid w:val="10A146D8"/>
    <w:rsid w:val="10A53E43"/>
    <w:rsid w:val="10AF0A26"/>
    <w:rsid w:val="10AF35C3"/>
    <w:rsid w:val="10BE135F"/>
    <w:rsid w:val="10C95525"/>
    <w:rsid w:val="10DA6FBB"/>
    <w:rsid w:val="10E55F56"/>
    <w:rsid w:val="10F606E7"/>
    <w:rsid w:val="11005717"/>
    <w:rsid w:val="1102689F"/>
    <w:rsid w:val="115E66CA"/>
    <w:rsid w:val="11916E8D"/>
    <w:rsid w:val="11A17233"/>
    <w:rsid w:val="11D23587"/>
    <w:rsid w:val="11E2667B"/>
    <w:rsid w:val="11F6031F"/>
    <w:rsid w:val="122570A6"/>
    <w:rsid w:val="123E51DA"/>
    <w:rsid w:val="12442504"/>
    <w:rsid w:val="12493DA4"/>
    <w:rsid w:val="12563BDF"/>
    <w:rsid w:val="126712E8"/>
    <w:rsid w:val="128532EA"/>
    <w:rsid w:val="129A5A0E"/>
    <w:rsid w:val="12E458E0"/>
    <w:rsid w:val="130D3EEE"/>
    <w:rsid w:val="13220907"/>
    <w:rsid w:val="132C21D3"/>
    <w:rsid w:val="133D18BA"/>
    <w:rsid w:val="135D2259"/>
    <w:rsid w:val="135D7C3C"/>
    <w:rsid w:val="13674C31"/>
    <w:rsid w:val="1390189D"/>
    <w:rsid w:val="139A4F1E"/>
    <w:rsid w:val="13B40B1E"/>
    <w:rsid w:val="13C06667"/>
    <w:rsid w:val="13C30A94"/>
    <w:rsid w:val="140E4E9D"/>
    <w:rsid w:val="141718F3"/>
    <w:rsid w:val="141806BC"/>
    <w:rsid w:val="141D5682"/>
    <w:rsid w:val="14336562"/>
    <w:rsid w:val="143E2663"/>
    <w:rsid w:val="144C79EC"/>
    <w:rsid w:val="146F15F5"/>
    <w:rsid w:val="14700EFA"/>
    <w:rsid w:val="1484154F"/>
    <w:rsid w:val="1485219C"/>
    <w:rsid w:val="149577DE"/>
    <w:rsid w:val="14970678"/>
    <w:rsid w:val="14A415DD"/>
    <w:rsid w:val="14A619EB"/>
    <w:rsid w:val="14AA0E2B"/>
    <w:rsid w:val="14B614D3"/>
    <w:rsid w:val="14DB17A9"/>
    <w:rsid w:val="150A6B7E"/>
    <w:rsid w:val="150F4A5B"/>
    <w:rsid w:val="1515445D"/>
    <w:rsid w:val="151810BD"/>
    <w:rsid w:val="15316CED"/>
    <w:rsid w:val="15327B51"/>
    <w:rsid w:val="153E129B"/>
    <w:rsid w:val="15771688"/>
    <w:rsid w:val="157A4357"/>
    <w:rsid w:val="157C47A7"/>
    <w:rsid w:val="1595625C"/>
    <w:rsid w:val="15A720AD"/>
    <w:rsid w:val="15AA3DBB"/>
    <w:rsid w:val="15BD3B28"/>
    <w:rsid w:val="15C1641F"/>
    <w:rsid w:val="15C73EE6"/>
    <w:rsid w:val="15C922EA"/>
    <w:rsid w:val="15CB7CA2"/>
    <w:rsid w:val="15E75B45"/>
    <w:rsid w:val="15F026B1"/>
    <w:rsid w:val="15F47BD1"/>
    <w:rsid w:val="15FD5067"/>
    <w:rsid w:val="1611708A"/>
    <w:rsid w:val="161F15DB"/>
    <w:rsid w:val="162B0449"/>
    <w:rsid w:val="163001BF"/>
    <w:rsid w:val="163E783B"/>
    <w:rsid w:val="16406CE2"/>
    <w:rsid w:val="16755DD5"/>
    <w:rsid w:val="167A0973"/>
    <w:rsid w:val="168116A2"/>
    <w:rsid w:val="168445EF"/>
    <w:rsid w:val="1685721C"/>
    <w:rsid w:val="16990A37"/>
    <w:rsid w:val="169B57CE"/>
    <w:rsid w:val="16A60E4A"/>
    <w:rsid w:val="16CB0FB9"/>
    <w:rsid w:val="16E25C43"/>
    <w:rsid w:val="16E6524A"/>
    <w:rsid w:val="16F65A1A"/>
    <w:rsid w:val="16FA1AE3"/>
    <w:rsid w:val="170C030C"/>
    <w:rsid w:val="17174E5D"/>
    <w:rsid w:val="17184FD1"/>
    <w:rsid w:val="171C3AB7"/>
    <w:rsid w:val="173534F0"/>
    <w:rsid w:val="173D4C5D"/>
    <w:rsid w:val="174E5B00"/>
    <w:rsid w:val="175E227B"/>
    <w:rsid w:val="17640CB8"/>
    <w:rsid w:val="177F6773"/>
    <w:rsid w:val="1789019E"/>
    <w:rsid w:val="178F7340"/>
    <w:rsid w:val="17B3165E"/>
    <w:rsid w:val="17B50ACF"/>
    <w:rsid w:val="17E25542"/>
    <w:rsid w:val="18013EC6"/>
    <w:rsid w:val="181A1D8B"/>
    <w:rsid w:val="181D17B0"/>
    <w:rsid w:val="18726EB3"/>
    <w:rsid w:val="188D5A69"/>
    <w:rsid w:val="18C17624"/>
    <w:rsid w:val="18C91CEB"/>
    <w:rsid w:val="18D81ADE"/>
    <w:rsid w:val="18DF2708"/>
    <w:rsid w:val="18E2503F"/>
    <w:rsid w:val="18E65AFE"/>
    <w:rsid w:val="18FC3569"/>
    <w:rsid w:val="191F4DF9"/>
    <w:rsid w:val="19270288"/>
    <w:rsid w:val="19370453"/>
    <w:rsid w:val="193C265E"/>
    <w:rsid w:val="19551D86"/>
    <w:rsid w:val="197A7256"/>
    <w:rsid w:val="197D79B5"/>
    <w:rsid w:val="198C67CF"/>
    <w:rsid w:val="198E51C5"/>
    <w:rsid w:val="199921A0"/>
    <w:rsid w:val="19A95F1B"/>
    <w:rsid w:val="19AA0461"/>
    <w:rsid w:val="19B408F8"/>
    <w:rsid w:val="19C9542E"/>
    <w:rsid w:val="19D012AA"/>
    <w:rsid w:val="19D26D8D"/>
    <w:rsid w:val="19DD4920"/>
    <w:rsid w:val="19E5149E"/>
    <w:rsid w:val="19FD2C70"/>
    <w:rsid w:val="1A063DD4"/>
    <w:rsid w:val="1A105D5E"/>
    <w:rsid w:val="1A226C15"/>
    <w:rsid w:val="1A24020E"/>
    <w:rsid w:val="1A243C00"/>
    <w:rsid w:val="1A2B234A"/>
    <w:rsid w:val="1A2E5A5E"/>
    <w:rsid w:val="1A4022B2"/>
    <w:rsid w:val="1A592F46"/>
    <w:rsid w:val="1A61489A"/>
    <w:rsid w:val="1A6B1A93"/>
    <w:rsid w:val="1AB070A4"/>
    <w:rsid w:val="1AC31849"/>
    <w:rsid w:val="1ACC6015"/>
    <w:rsid w:val="1AD73359"/>
    <w:rsid w:val="1AD8765F"/>
    <w:rsid w:val="1ADA51D6"/>
    <w:rsid w:val="1AED3769"/>
    <w:rsid w:val="1AF70EA4"/>
    <w:rsid w:val="1B01224C"/>
    <w:rsid w:val="1B0866D2"/>
    <w:rsid w:val="1B092616"/>
    <w:rsid w:val="1B0A3C04"/>
    <w:rsid w:val="1B101B66"/>
    <w:rsid w:val="1B13338C"/>
    <w:rsid w:val="1B19302D"/>
    <w:rsid w:val="1B291622"/>
    <w:rsid w:val="1B2C0A22"/>
    <w:rsid w:val="1B4772E8"/>
    <w:rsid w:val="1B635F55"/>
    <w:rsid w:val="1B736789"/>
    <w:rsid w:val="1B7D2ED0"/>
    <w:rsid w:val="1B8204C8"/>
    <w:rsid w:val="1B847742"/>
    <w:rsid w:val="1BA26D1E"/>
    <w:rsid w:val="1BAA7371"/>
    <w:rsid w:val="1BAB2405"/>
    <w:rsid w:val="1BB63861"/>
    <w:rsid w:val="1BB80A70"/>
    <w:rsid w:val="1BE463D3"/>
    <w:rsid w:val="1BE63FC3"/>
    <w:rsid w:val="1BF1191A"/>
    <w:rsid w:val="1BF27A18"/>
    <w:rsid w:val="1C02149E"/>
    <w:rsid w:val="1C15048D"/>
    <w:rsid w:val="1C1E245E"/>
    <w:rsid w:val="1C6E2650"/>
    <w:rsid w:val="1C813BDF"/>
    <w:rsid w:val="1CC91768"/>
    <w:rsid w:val="1CD57E21"/>
    <w:rsid w:val="1CE06B72"/>
    <w:rsid w:val="1CE630C2"/>
    <w:rsid w:val="1CEA768C"/>
    <w:rsid w:val="1D081413"/>
    <w:rsid w:val="1D10530D"/>
    <w:rsid w:val="1D232630"/>
    <w:rsid w:val="1D244313"/>
    <w:rsid w:val="1D392E87"/>
    <w:rsid w:val="1D6C6CDB"/>
    <w:rsid w:val="1D7C62F0"/>
    <w:rsid w:val="1D974419"/>
    <w:rsid w:val="1DA748F2"/>
    <w:rsid w:val="1DDD77BB"/>
    <w:rsid w:val="1E041823"/>
    <w:rsid w:val="1E2E6075"/>
    <w:rsid w:val="1E3F7CA3"/>
    <w:rsid w:val="1E4063FB"/>
    <w:rsid w:val="1E555104"/>
    <w:rsid w:val="1E5D4D82"/>
    <w:rsid w:val="1E5F1673"/>
    <w:rsid w:val="1E624CFF"/>
    <w:rsid w:val="1E6C7E5D"/>
    <w:rsid w:val="1E771885"/>
    <w:rsid w:val="1E8E43F2"/>
    <w:rsid w:val="1EA408D3"/>
    <w:rsid w:val="1EB25068"/>
    <w:rsid w:val="1EB84542"/>
    <w:rsid w:val="1EBD4AF4"/>
    <w:rsid w:val="1ECA07FA"/>
    <w:rsid w:val="1EE719F8"/>
    <w:rsid w:val="1EFD27B9"/>
    <w:rsid w:val="1F0600E3"/>
    <w:rsid w:val="1F0A7DEB"/>
    <w:rsid w:val="1F0D7ED2"/>
    <w:rsid w:val="1F116843"/>
    <w:rsid w:val="1F3563E4"/>
    <w:rsid w:val="1F3C6E99"/>
    <w:rsid w:val="1F3E7C26"/>
    <w:rsid w:val="1F411AF0"/>
    <w:rsid w:val="1F4760C8"/>
    <w:rsid w:val="1F4C41E1"/>
    <w:rsid w:val="1F5A020F"/>
    <w:rsid w:val="1F6B2467"/>
    <w:rsid w:val="1F6F25D2"/>
    <w:rsid w:val="1F6F57B0"/>
    <w:rsid w:val="1F741E55"/>
    <w:rsid w:val="1F8B0C86"/>
    <w:rsid w:val="1F9D783C"/>
    <w:rsid w:val="1FB226C2"/>
    <w:rsid w:val="1FBB3CA2"/>
    <w:rsid w:val="1FBC5612"/>
    <w:rsid w:val="1FD51288"/>
    <w:rsid w:val="1FE30177"/>
    <w:rsid w:val="20076FCC"/>
    <w:rsid w:val="202F30BB"/>
    <w:rsid w:val="2033646D"/>
    <w:rsid w:val="20461FD7"/>
    <w:rsid w:val="2058557F"/>
    <w:rsid w:val="207362E3"/>
    <w:rsid w:val="20811996"/>
    <w:rsid w:val="208E15A0"/>
    <w:rsid w:val="20947B8D"/>
    <w:rsid w:val="209F01E6"/>
    <w:rsid w:val="20AB4B11"/>
    <w:rsid w:val="20E361D4"/>
    <w:rsid w:val="20F86AE4"/>
    <w:rsid w:val="20FB2B64"/>
    <w:rsid w:val="21170293"/>
    <w:rsid w:val="212201B0"/>
    <w:rsid w:val="21350B0C"/>
    <w:rsid w:val="21555135"/>
    <w:rsid w:val="21601572"/>
    <w:rsid w:val="216810C1"/>
    <w:rsid w:val="218468A1"/>
    <w:rsid w:val="219077FA"/>
    <w:rsid w:val="21A11EB2"/>
    <w:rsid w:val="21A82115"/>
    <w:rsid w:val="21AA44A9"/>
    <w:rsid w:val="21AC486F"/>
    <w:rsid w:val="21BD79FD"/>
    <w:rsid w:val="21C403DC"/>
    <w:rsid w:val="21CA162E"/>
    <w:rsid w:val="21DD53DA"/>
    <w:rsid w:val="22011BCA"/>
    <w:rsid w:val="22087DF5"/>
    <w:rsid w:val="22217FC8"/>
    <w:rsid w:val="22232433"/>
    <w:rsid w:val="22447078"/>
    <w:rsid w:val="226F4616"/>
    <w:rsid w:val="22745ABA"/>
    <w:rsid w:val="2290699A"/>
    <w:rsid w:val="22B84957"/>
    <w:rsid w:val="22BB2307"/>
    <w:rsid w:val="22D061AC"/>
    <w:rsid w:val="22F76084"/>
    <w:rsid w:val="230A6F89"/>
    <w:rsid w:val="23174E97"/>
    <w:rsid w:val="233007DA"/>
    <w:rsid w:val="23401E45"/>
    <w:rsid w:val="23423C43"/>
    <w:rsid w:val="234646F1"/>
    <w:rsid w:val="234C0966"/>
    <w:rsid w:val="235F3261"/>
    <w:rsid w:val="236B3F2C"/>
    <w:rsid w:val="23804FAE"/>
    <w:rsid w:val="238151A9"/>
    <w:rsid w:val="23AF3C62"/>
    <w:rsid w:val="23B85EDB"/>
    <w:rsid w:val="23BD1C69"/>
    <w:rsid w:val="23CB5FCC"/>
    <w:rsid w:val="23DC5BB8"/>
    <w:rsid w:val="23DE05BF"/>
    <w:rsid w:val="23F84E55"/>
    <w:rsid w:val="23FC200C"/>
    <w:rsid w:val="24041004"/>
    <w:rsid w:val="24115788"/>
    <w:rsid w:val="243524A0"/>
    <w:rsid w:val="2437572E"/>
    <w:rsid w:val="24396E2F"/>
    <w:rsid w:val="24572348"/>
    <w:rsid w:val="24583E43"/>
    <w:rsid w:val="245B148D"/>
    <w:rsid w:val="24611280"/>
    <w:rsid w:val="246127E9"/>
    <w:rsid w:val="2469718B"/>
    <w:rsid w:val="24713F8E"/>
    <w:rsid w:val="247646E0"/>
    <w:rsid w:val="2484550B"/>
    <w:rsid w:val="248C0491"/>
    <w:rsid w:val="24910DB0"/>
    <w:rsid w:val="24A479AA"/>
    <w:rsid w:val="24A47DE2"/>
    <w:rsid w:val="24AE36F3"/>
    <w:rsid w:val="24C54839"/>
    <w:rsid w:val="24EF79CB"/>
    <w:rsid w:val="24F31D30"/>
    <w:rsid w:val="24FE24B8"/>
    <w:rsid w:val="25110499"/>
    <w:rsid w:val="25140481"/>
    <w:rsid w:val="256F3B08"/>
    <w:rsid w:val="25766273"/>
    <w:rsid w:val="25952AF8"/>
    <w:rsid w:val="25955221"/>
    <w:rsid w:val="25AA091C"/>
    <w:rsid w:val="25B50806"/>
    <w:rsid w:val="25CA0BE2"/>
    <w:rsid w:val="25D557B2"/>
    <w:rsid w:val="25DF560D"/>
    <w:rsid w:val="25E37EE5"/>
    <w:rsid w:val="25F93AFA"/>
    <w:rsid w:val="25FA0B34"/>
    <w:rsid w:val="25FA6D8A"/>
    <w:rsid w:val="260F3445"/>
    <w:rsid w:val="261A058B"/>
    <w:rsid w:val="26203DAC"/>
    <w:rsid w:val="262C6D0E"/>
    <w:rsid w:val="263C5A96"/>
    <w:rsid w:val="26522A69"/>
    <w:rsid w:val="26663948"/>
    <w:rsid w:val="266A1D60"/>
    <w:rsid w:val="267B38DC"/>
    <w:rsid w:val="2684189A"/>
    <w:rsid w:val="26924EF1"/>
    <w:rsid w:val="269363F1"/>
    <w:rsid w:val="26A263AE"/>
    <w:rsid w:val="26A42FBE"/>
    <w:rsid w:val="26AA1201"/>
    <w:rsid w:val="26B96187"/>
    <w:rsid w:val="26D23AF0"/>
    <w:rsid w:val="27162CF0"/>
    <w:rsid w:val="271907FE"/>
    <w:rsid w:val="27304C78"/>
    <w:rsid w:val="27311CE3"/>
    <w:rsid w:val="273707E0"/>
    <w:rsid w:val="27396011"/>
    <w:rsid w:val="273A0BE2"/>
    <w:rsid w:val="274A3F4C"/>
    <w:rsid w:val="275C013E"/>
    <w:rsid w:val="27847C1D"/>
    <w:rsid w:val="279710F7"/>
    <w:rsid w:val="27B2090B"/>
    <w:rsid w:val="27B75457"/>
    <w:rsid w:val="27C13974"/>
    <w:rsid w:val="27C72347"/>
    <w:rsid w:val="27CA3B83"/>
    <w:rsid w:val="27DF015D"/>
    <w:rsid w:val="27ED43CB"/>
    <w:rsid w:val="27F35F10"/>
    <w:rsid w:val="27F82183"/>
    <w:rsid w:val="280E280C"/>
    <w:rsid w:val="28255ECF"/>
    <w:rsid w:val="282577A0"/>
    <w:rsid w:val="282908AC"/>
    <w:rsid w:val="28296C5C"/>
    <w:rsid w:val="28333E4D"/>
    <w:rsid w:val="28357800"/>
    <w:rsid w:val="283D2091"/>
    <w:rsid w:val="28441A68"/>
    <w:rsid w:val="2849511E"/>
    <w:rsid w:val="286525AC"/>
    <w:rsid w:val="287C3392"/>
    <w:rsid w:val="287E26BC"/>
    <w:rsid w:val="28882E54"/>
    <w:rsid w:val="288A4049"/>
    <w:rsid w:val="288C514A"/>
    <w:rsid w:val="28952758"/>
    <w:rsid w:val="28B32298"/>
    <w:rsid w:val="28B76D14"/>
    <w:rsid w:val="28BB314D"/>
    <w:rsid w:val="28C179F7"/>
    <w:rsid w:val="28D86FF4"/>
    <w:rsid w:val="28DA59C2"/>
    <w:rsid w:val="28FC10A7"/>
    <w:rsid w:val="290D65B3"/>
    <w:rsid w:val="29193621"/>
    <w:rsid w:val="29250BF4"/>
    <w:rsid w:val="292D6DFF"/>
    <w:rsid w:val="296C035A"/>
    <w:rsid w:val="296F7752"/>
    <w:rsid w:val="297F2170"/>
    <w:rsid w:val="29970153"/>
    <w:rsid w:val="29992DFE"/>
    <w:rsid w:val="29993443"/>
    <w:rsid w:val="29AA3981"/>
    <w:rsid w:val="29AF0253"/>
    <w:rsid w:val="29D75C84"/>
    <w:rsid w:val="29D946EF"/>
    <w:rsid w:val="29E24272"/>
    <w:rsid w:val="29E7110A"/>
    <w:rsid w:val="29EC2E55"/>
    <w:rsid w:val="2A0806C0"/>
    <w:rsid w:val="2A115B9B"/>
    <w:rsid w:val="2A1D5DFE"/>
    <w:rsid w:val="2A1E1EEC"/>
    <w:rsid w:val="2A2D2A11"/>
    <w:rsid w:val="2A491C5F"/>
    <w:rsid w:val="2A493422"/>
    <w:rsid w:val="2A5717DB"/>
    <w:rsid w:val="2A5B4E3A"/>
    <w:rsid w:val="2A7A6B0A"/>
    <w:rsid w:val="2A832CFF"/>
    <w:rsid w:val="2A8506E7"/>
    <w:rsid w:val="2A8E58A6"/>
    <w:rsid w:val="2A9578F3"/>
    <w:rsid w:val="2AA20C43"/>
    <w:rsid w:val="2AAA1134"/>
    <w:rsid w:val="2AB2433E"/>
    <w:rsid w:val="2AB44395"/>
    <w:rsid w:val="2AB47B62"/>
    <w:rsid w:val="2ABC368A"/>
    <w:rsid w:val="2AF13053"/>
    <w:rsid w:val="2AF273C7"/>
    <w:rsid w:val="2B103B29"/>
    <w:rsid w:val="2B5D2BC1"/>
    <w:rsid w:val="2B6047A0"/>
    <w:rsid w:val="2B7E22D5"/>
    <w:rsid w:val="2B861EED"/>
    <w:rsid w:val="2B94024A"/>
    <w:rsid w:val="2BA74D2A"/>
    <w:rsid w:val="2BA970BD"/>
    <w:rsid w:val="2BAF333A"/>
    <w:rsid w:val="2BC05CBD"/>
    <w:rsid w:val="2BC46EBA"/>
    <w:rsid w:val="2BDA6591"/>
    <w:rsid w:val="2BFA70B9"/>
    <w:rsid w:val="2C011631"/>
    <w:rsid w:val="2C070109"/>
    <w:rsid w:val="2C2F43F3"/>
    <w:rsid w:val="2C3E7EF9"/>
    <w:rsid w:val="2C443619"/>
    <w:rsid w:val="2C5D3809"/>
    <w:rsid w:val="2C7517AD"/>
    <w:rsid w:val="2C845D90"/>
    <w:rsid w:val="2C8E1D6C"/>
    <w:rsid w:val="2C966BA0"/>
    <w:rsid w:val="2C9773FC"/>
    <w:rsid w:val="2CC53803"/>
    <w:rsid w:val="2CCB4891"/>
    <w:rsid w:val="2CD927DD"/>
    <w:rsid w:val="2CE644FE"/>
    <w:rsid w:val="2CE83B1C"/>
    <w:rsid w:val="2CF31318"/>
    <w:rsid w:val="2CF67DFE"/>
    <w:rsid w:val="2CF96F2A"/>
    <w:rsid w:val="2D0372A6"/>
    <w:rsid w:val="2D185D6A"/>
    <w:rsid w:val="2D2E62C5"/>
    <w:rsid w:val="2D2E6508"/>
    <w:rsid w:val="2D39704E"/>
    <w:rsid w:val="2D431DD0"/>
    <w:rsid w:val="2D4C3829"/>
    <w:rsid w:val="2D501989"/>
    <w:rsid w:val="2D59735D"/>
    <w:rsid w:val="2D5A227F"/>
    <w:rsid w:val="2D5F2C3B"/>
    <w:rsid w:val="2D746748"/>
    <w:rsid w:val="2D75343E"/>
    <w:rsid w:val="2D9E6D4E"/>
    <w:rsid w:val="2DB60969"/>
    <w:rsid w:val="2DD36430"/>
    <w:rsid w:val="2DD73951"/>
    <w:rsid w:val="2DEC4CB0"/>
    <w:rsid w:val="2DF4456D"/>
    <w:rsid w:val="2E0B66E2"/>
    <w:rsid w:val="2E0D05D5"/>
    <w:rsid w:val="2E102CC1"/>
    <w:rsid w:val="2E347A5C"/>
    <w:rsid w:val="2E67432E"/>
    <w:rsid w:val="2E6B2D17"/>
    <w:rsid w:val="2E72032B"/>
    <w:rsid w:val="2EA3097D"/>
    <w:rsid w:val="2EC2013C"/>
    <w:rsid w:val="2ECC1BEB"/>
    <w:rsid w:val="2ED92D5B"/>
    <w:rsid w:val="2ED971D7"/>
    <w:rsid w:val="2EE97391"/>
    <w:rsid w:val="2EF569B8"/>
    <w:rsid w:val="2F0A4DCF"/>
    <w:rsid w:val="2F16790E"/>
    <w:rsid w:val="2F251380"/>
    <w:rsid w:val="2F432E6D"/>
    <w:rsid w:val="2F5C1DCF"/>
    <w:rsid w:val="2F601896"/>
    <w:rsid w:val="2F70521B"/>
    <w:rsid w:val="2F9E24E2"/>
    <w:rsid w:val="2FA44150"/>
    <w:rsid w:val="2FD065EC"/>
    <w:rsid w:val="2FD65282"/>
    <w:rsid w:val="2FE5747F"/>
    <w:rsid w:val="30050BF2"/>
    <w:rsid w:val="30161007"/>
    <w:rsid w:val="30191018"/>
    <w:rsid w:val="302C1ED9"/>
    <w:rsid w:val="303F0F02"/>
    <w:rsid w:val="3045390E"/>
    <w:rsid w:val="30497F0E"/>
    <w:rsid w:val="30535568"/>
    <w:rsid w:val="30607F60"/>
    <w:rsid w:val="30742560"/>
    <w:rsid w:val="307B6A62"/>
    <w:rsid w:val="308522CF"/>
    <w:rsid w:val="30944FF2"/>
    <w:rsid w:val="30A06BF6"/>
    <w:rsid w:val="30A66AEC"/>
    <w:rsid w:val="30AB5013"/>
    <w:rsid w:val="30AD07DA"/>
    <w:rsid w:val="30C905CC"/>
    <w:rsid w:val="30DB106D"/>
    <w:rsid w:val="30DF33A3"/>
    <w:rsid w:val="30EA146A"/>
    <w:rsid w:val="31053981"/>
    <w:rsid w:val="31080EAC"/>
    <w:rsid w:val="310F2369"/>
    <w:rsid w:val="31155855"/>
    <w:rsid w:val="31174F6D"/>
    <w:rsid w:val="31231B49"/>
    <w:rsid w:val="312A202A"/>
    <w:rsid w:val="314B03BF"/>
    <w:rsid w:val="3154652B"/>
    <w:rsid w:val="3156457E"/>
    <w:rsid w:val="315F0BDB"/>
    <w:rsid w:val="31633828"/>
    <w:rsid w:val="316929CB"/>
    <w:rsid w:val="317D5008"/>
    <w:rsid w:val="31855740"/>
    <w:rsid w:val="318828E6"/>
    <w:rsid w:val="31955A07"/>
    <w:rsid w:val="31992631"/>
    <w:rsid w:val="31B15913"/>
    <w:rsid w:val="31C269CD"/>
    <w:rsid w:val="31D2516D"/>
    <w:rsid w:val="31DB5034"/>
    <w:rsid w:val="31DC475F"/>
    <w:rsid w:val="31DD01BC"/>
    <w:rsid w:val="31E82962"/>
    <w:rsid w:val="31ED25DA"/>
    <w:rsid w:val="31F24CB0"/>
    <w:rsid w:val="31F4130F"/>
    <w:rsid w:val="32171FB4"/>
    <w:rsid w:val="321D4C62"/>
    <w:rsid w:val="323432B3"/>
    <w:rsid w:val="323D533F"/>
    <w:rsid w:val="323E33DD"/>
    <w:rsid w:val="324804AC"/>
    <w:rsid w:val="32800080"/>
    <w:rsid w:val="32924A55"/>
    <w:rsid w:val="32CA737B"/>
    <w:rsid w:val="32EB7893"/>
    <w:rsid w:val="32EC0E0F"/>
    <w:rsid w:val="32F5032B"/>
    <w:rsid w:val="32FF4654"/>
    <w:rsid w:val="330D0626"/>
    <w:rsid w:val="33150CC3"/>
    <w:rsid w:val="331839F1"/>
    <w:rsid w:val="333822FC"/>
    <w:rsid w:val="33397157"/>
    <w:rsid w:val="333E6E00"/>
    <w:rsid w:val="334B0D85"/>
    <w:rsid w:val="33775BB7"/>
    <w:rsid w:val="337B00E4"/>
    <w:rsid w:val="33843B11"/>
    <w:rsid w:val="338D2719"/>
    <w:rsid w:val="33903D4D"/>
    <w:rsid w:val="339A231A"/>
    <w:rsid w:val="33A3046A"/>
    <w:rsid w:val="33B171EC"/>
    <w:rsid w:val="33B66DF1"/>
    <w:rsid w:val="33C31091"/>
    <w:rsid w:val="33C73529"/>
    <w:rsid w:val="33C82E61"/>
    <w:rsid w:val="33DA42AF"/>
    <w:rsid w:val="33DD74E8"/>
    <w:rsid w:val="33E22B7B"/>
    <w:rsid w:val="340803B2"/>
    <w:rsid w:val="3420225D"/>
    <w:rsid w:val="34265F6F"/>
    <w:rsid w:val="344623D5"/>
    <w:rsid w:val="344B6734"/>
    <w:rsid w:val="34627A20"/>
    <w:rsid w:val="3482630B"/>
    <w:rsid w:val="34900E6F"/>
    <w:rsid w:val="349A7D7B"/>
    <w:rsid w:val="34A36F12"/>
    <w:rsid w:val="34AD6309"/>
    <w:rsid w:val="34CC718C"/>
    <w:rsid w:val="34D15BC1"/>
    <w:rsid w:val="34D17092"/>
    <w:rsid w:val="34D55E93"/>
    <w:rsid w:val="34D64834"/>
    <w:rsid w:val="34DC305C"/>
    <w:rsid w:val="34F143A0"/>
    <w:rsid w:val="34F33CB2"/>
    <w:rsid w:val="34FB43A8"/>
    <w:rsid w:val="350D1D27"/>
    <w:rsid w:val="35136A8E"/>
    <w:rsid w:val="351910DF"/>
    <w:rsid w:val="351E4F36"/>
    <w:rsid w:val="35484F53"/>
    <w:rsid w:val="35514B9A"/>
    <w:rsid w:val="355763B8"/>
    <w:rsid w:val="35700712"/>
    <w:rsid w:val="35763351"/>
    <w:rsid w:val="3596789C"/>
    <w:rsid w:val="35B51885"/>
    <w:rsid w:val="35BB6212"/>
    <w:rsid w:val="35C01884"/>
    <w:rsid w:val="35C37C1B"/>
    <w:rsid w:val="35C53AAB"/>
    <w:rsid w:val="35DF190A"/>
    <w:rsid w:val="35E936CD"/>
    <w:rsid w:val="35EE30A2"/>
    <w:rsid w:val="35EE5A93"/>
    <w:rsid w:val="35F73812"/>
    <w:rsid w:val="36000004"/>
    <w:rsid w:val="360634D4"/>
    <w:rsid w:val="3608598C"/>
    <w:rsid w:val="3610752A"/>
    <w:rsid w:val="3613218A"/>
    <w:rsid w:val="361A1E7B"/>
    <w:rsid w:val="361A5A00"/>
    <w:rsid w:val="36272961"/>
    <w:rsid w:val="363549BA"/>
    <w:rsid w:val="36366E57"/>
    <w:rsid w:val="365574D5"/>
    <w:rsid w:val="366E4306"/>
    <w:rsid w:val="367118AB"/>
    <w:rsid w:val="36725868"/>
    <w:rsid w:val="367645F1"/>
    <w:rsid w:val="3681136F"/>
    <w:rsid w:val="36916228"/>
    <w:rsid w:val="36A24F04"/>
    <w:rsid w:val="36C12123"/>
    <w:rsid w:val="36C14876"/>
    <w:rsid w:val="36E40FA9"/>
    <w:rsid w:val="36E45F85"/>
    <w:rsid w:val="36E61DED"/>
    <w:rsid w:val="37043A6A"/>
    <w:rsid w:val="37057611"/>
    <w:rsid w:val="37065EEC"/>
    <w:rsid w:val="37221E4A"/>
    <w:rsid w:val="37370044"/>
    <w:rsid w:val="374E677C"/>
    <w:rsid w:val="37601EE5"/>
    <w:rsid w:val="376C689D"/>
    <w:rsid w:val="37716FCA"/>
    <w:rsid w:val="37755C5B"/>
    <w:rsid w:val="37847109"/>
    <w:rsid w:val="37912515"/>
    <w:rsid w:val="379B5AF4"/>
    <w:rsid w:val="37A56288"/>
    <w:rsid w:val="37AC50DB"/>
    <w:rsid w:val="37C02A1C"/>
    <w:rsid w:val="37DA4B41"/>
    <w:rsid w:val="37DE49BD"/>
    <w:rsid w:val="37F02332"/>
    <w:rsid w:val="37FD27E4"/>
    <w:rsid w:val="382955CC"/>
    <w:rsid w:val="382C27D8"/>
    <w:rsid w:val="383277B0"/>
    <w:rsid w:val="383B7C3F"/>
    <w:rsid w:val="3846738A"/>
    <w:rsid w:val="384A39AE"/>
    <w:rsid w:val="385B5AB4"/>
    <w:rsid w:val="38615DE3"/>
    <w:rsid w:val="38680C28"/>
    <w:rsid w:val="387513AF"/>
    <w:rsid w:val="38803E41"/>
    <w:rsid w:val="388F3DFD"/>
    <w:rsid w:val="38A91B07"/>
    <w:rsid w:val="38B22E84"/>
    <w:rsid w:val="38B91D95"/>
    <w:rsid w:val="38BE5AC7"/>
    <w:rsid w:val="38C1542A"/>
    <w:rsid w:val="38C63BC0"/>
    <w:rsid w:val="38D127EA"/>
    <w:rsid w:val="38EA541D"/>
    <w:rsid w:val="38F07517"/>
    <w:rsid w:val="38F64C78"/>
    <w:rsid w:val="391E0545"/>
    <w:rsid w:val="39270716"/>
    <w:rsid w:val="3948714D"/>
    <w:rsid w:val="394E041A"/>
    <w:rsid w:val="39510337"/>
    <w:rsid w:val="39521A8A"/>
    <w:rsid w:val="39690D72"/>
    <w:rsid w:val="39813DF2"/>
    <w:rsid w:val="3989696D"/>
    <w:rsid w:val="398E5E4F"/>
    <w:rsid w:val="399E0198"/>
    <w:rsid w:val="39BD1AAC"/>
    <w:rsid w:val="39C6551A"/>
    <w:rsid w:val="39E053E2"/>
    <w:rsid w:val="39ED339C"/>
    <w:rsid w:val="3A1064C6"/>
    <w:rsid w:val="3A2B7DB0"/>
    <w:rsid w:val="3A5162AA"/>
    <w:rsid w:val="3A574414"/>
    <w:rsid w:val="3A6B67A8"/>
    <w:rsid w:val="3A6C06EC"/>
    <w:rsid w:val="3A6F20A7"/>
    <w:rsid w:val="3A7234EF"/>
    <w:rsid w:val="3A7661FC"/>
    <w:rsid w:val="3A7A4376"/>
    <w:rsid w:val="3AA65CD7"/>
    <w:rsid w:val="3ACF15A1"/>
    <w:rsid w:val="3AD2730E"/>
    <w:rsid w:val="3AE246E8"/>
    <w:rsid w:val="3AEA4705"/>
    <w:rsid w:val="3AEE6483"/>
    <w:rsid w:val="3AF00D9C"/>
    <w:rsid w:val="3AFF1281"/>
    <w:rsid w:val="3B0165B3"/>
    <w:rsid w:val="3B102ABB"/>
    <w:rsid w:val="3B1B104A"/>
    <w:rsid w:val="3B370783"/>
    <w:rsid w:val="3B510AEE"/>
    <w:rsid w:val="3B7C2D2E"/>
    <w:rsid w:val="3B7D4D9F"/>
    <w:rsid w:val="3B802353"/>
    <w:rsid w:val="3B8052CC"/>
    <w:rsid w:val="3B9118E5"/>
    <w:rsid w:val="3B933EDB"/>
    <w:rsid w:val="3B951E22"/>
    <w:rsid w:val="3B9A3448"/>
    <w:rsid w:val="3B9F54A1"/>
    <w:rsid w:val="3BAC01FF"/>
    <w:rsid w:val="3BB82B6A"/>
    <w:rsid w:val="3BC13EFD"/>
    <w:rsid w:val="3BCB7D4C"/>
    <w:rsid w:val="3BD81E4B"/>
    <w:rsid w:val="3BDC700E"/>
    <w:rsid w:val="3BDF211B"/>
    <w:rsid w:val="3BF61D7F"/>
    <w:rsid w:val="3C164524"/>
    <w:rsid w:val="3C215A86"/>
    <w:rsid w:val="3C215F09"/>
    <w:rsid w:val="3C23565D"/>
    <w:rsid w:val="3C244303"/>
    <w:rsid w:val="3C281D78"/>
    <w:rsid w:val="3C2A2F4A"/>
    <w:rsid w:val="3C5870DF"/>
    <w:rsid w:val="3C60307E"/>
    <w:rsid w:val="3C622936"/>
    <w:rsid w:val="3C6845A3"/>
    <w:rsid w:val="3C6B3B93"/>
    <w:rsid w:val="3C6E148C"/>
    <w:rsid w:val="3C701AA7"/>
    <w:rsid w:val="3C7F5567"/>
    <w:rsid w:val="3C800929"/>
    <w:rsid w:val="3C804DC9"/>
    <w:rsid w:val="3C851FF2"/>
    <w:rsid w:val="3C8B2B8B"/>
    <w:rsid w:val="3CB0562E"/>
    <w:rsid w:val="3CB17F04"/>
    <w:rsid w:val="3CBF1B14"/>
    <w:rsid w:val="3CC34D23"/>
    <w:rsid w:val="3CC72893"/>
    <w:rsid w:val="3CD93C19"/>
    <w:rsid w:val="3D001398"/>
    <w:rsid w:val="3D004CEA"/>
    <w:rsid w:val="3D234593"/>
    <w:rsid w:val="3D2C499C"/>
    <w:rsid w:val="3D456F15"/>
    <w:rsid w:val="3D650EB6"/>
    <w:rsid w:val="3D6B29F0"/>
    <w:rsid w:val="3D767DAB"/>
    <w:rsid w:val="3DA0612D"/>
    <w:rsid w:val="3DCF2008"/>
    <w:rsid w:val="3DD02900"/>
    <w:rsid w:val="3DDA59C7"/>
    <w:rsid w:val="3DE457BA"/>
    <w:rsid w:val="3DED6CF2"/>
    <w:rsid w:val="3DF03723"/>
    <w:rsid w:val="3E171971"/>
    <w:rsid w:val="3E3B5D4F"/>
    <w:rsid w:val="3E5450B1"/>
    <w:rsid w:val="3E673275"/>
    <w:rsid w:val="3EA2078C"/>
    <w:rsid w:val="3EA74560"/>
    <w:rsid w:val="3EB060D0"/>
    <w:rsid w:val="3EB25F04"/>
    <w:rsid w:val="3EB44E62"/>
    <w:rsid w:val="3EB46F22"/>
    <w:rsid w:val="3EB50195"/>
    <w:rsid w:val="3EB73963"/>
    <w:rsid w:val="3EC26435"/>
    <w:rsid w:val="3EC54DA6"/>
    <w:rsid w:val="3EE63EC7"/>
    <w:rsid w:val="3EEC4C03"/>
    <w:rsid w:val="3EF173EF"/>
    <w:rsid w:val="3EF702C1"/>
    <w:rsid w:val="3EFA5D6A"/>
    <w:rsid w:val="3EFF1E8A"/>
    <w:rsid w:val="3F0B6E39"/>
    <w:rsid w:val="3F10349C"/>
    <w:rsid w:val="3F1F714B"/>
    <w:rsid w:val="3F295C15"/>
    <w:rsid w:val="3F3D3616"/>
    <w:rsid w:val="3F5B61F0"/>
    <w:rsid w:val="3F6A5311"/>
    <w:rsid w:val="3F6F02BE"/>
    <w:rsid w:val="3F782E19"/>
    <w:rsid w:val="3F7907CC"/>
    <w:rsid w:val="3F9627E2"/>
    <w:rsid w:val="3FAB1D89"/>
    <w:rsid w:val="3FAE4CFE"/>
    <w:rsid w:val="3FB4366B"/>
    <w:rsid w:val="3FC6406B"/>
    <w:rsid w:val="3FCF2F6F"/>
    <w:rsid w:val="3FD71FDB"/>
    <w:rsid w:val="3FE5280E"/>
    <w:rsid w:val="3FEF00D7"/>
    <w:rsid w:val="3FF41614"/>
    <w:rsid w:val="403B44F9"/>
    <w:rsid w:val="403D0FFB"/>
    <w:rsid w:val="40493944"/>
    <w:rsid w:val="40560D8E"/>
    <w:rsid w:val="405B107F"/>
    <w:rsid w:val="406A38E9"/>
    <w:rsid w:val="407107CE"/>
    <w:rsid w:val="40732D47"/>
    <w:rsid w:val="409C2E64"/>
    <w:rsid w:val="40AB1DA7"/>
    <w:rsid w:val="40B16C7B"/>
    <w:rsid w:val="40B472EE"/>
    <w:rsid w:val="40C34FB5"/>
    <w:rsid w:val="40C36DD7"/>
    <w:rsid w:val="40CC6885"/>
    <w:rsid w:val="40D35A96"/>
    <w:rsid w:val="40F623B2"/>
    <w:rsid w:val="40F74FDD"/>
    <w:rsid w:val="40F94E95"/>
    <w:rsid w:val="40FC5F8C"/>
    <w:rsid w:val="410460D4"/>
    <w:rsid w:val="41105C3F"/>
    <w:rsid w:val="41217506"/>
    <w:rsid w:val="41261B62"/>
    <w:rsid w:val="41295AB4"/>
    <w:rsid w:val="41330E1F"/>
    <w:rsid w:val="41390656"/>
    <w:rsid w:val="414367AA"/>
    <w:rsid w:val="41483B68"/>
    <w:rsid w:val="41494C5F"/>
    <w:rsid w:val="414C0CD0"/>
    <w:rsid w:val="41500F54"/>
    <w:rsid w:val="419A0168"/>
    <w:rsid w:val="419C41DB"/>
    <w:rsid w:val="41C10640"/>
    <w:rsid w:val="41C85546"/>
    <w:rsid w:val="41E577F3"/>
    <w:rsid w:val="41F82847"/>
    <w:rsid w:val="420F77EA"/>
    <w:rsid w:val="42105724"/>
    <w:rsid w:val="42214F7D"/>
    <w:rsid w:val="422E5979"/>
    <w:rsid w:val="424326E0"/>
    <w:rsid w:val="424A6830"/>
    <w:rsid w:val="425253AB"/>
    <w:rsid w:val="4254036C"/>
    <w:rsid w:val="42570256"/>
    <w:rsid w:val="426F09BF"/>
    <w:rsid w:val="42781390"/>
    <w:rsid w:val="428317B2"/>
    <w:rsid w:val="42A15E35"/>
    <w:rsid w:val="42AA0098"/>
    <w:rsid w:val="42BD7DD7"/>
    <w:rsid w:val="42E31601"/>
    <w:rsid w:val="42F66EE2"/>
    <w:rsid w:val="433C3A68"/>
    <w:rsid w:val="433D6D2B"/>
    <w:rsid w:val="434971E5"/>
    <w:rsid w:val="435940A6"/>
    <w:rsid w:val="436C2864"/>
    <w:rsid w:val="43730F31"/>
    <w:rsid w:val="438D3A85"/>
    <w:rsid w:val="43AE624F"/>
    <w:rsid w:val="43B32B53"/>
    <w:rsid w:val="43B52183"/>
    <w:rsid w:val="43B85C2C"/>
    <w:rsid w:val="43BD556D"/>
    <w:rsid w:val="43E35437"/>
    <w:rsid w:val="43EB212C"/>
    <w:rsid w:val="44052AFD"/>
    <w:rsid w:val="44553F2C"/>
    <w:rsid w:val="44580C32"/>
    <w:rsid w:val="44627CCC"/>
    <w:rsid w:val="4465263D"/>
    <w:rsid w:val="446D6705"/>
    <w:rsid w:val="448C1DD0"/>
    <w:rsid w:val="449853D3"/>
    <w:rsid w:val="44A92825"/>
    <w:rsid w:val="44AC6986"/>
    <w:rsid w:val="44BC1F8E"/>
    <w:rsid w:val="44BD4F0A"/>
    <w:rsid w:val="44C21EA6"/>
    <w:rsid w:val="44D01F7E"/>
    <w:rsid w:val="44D101F7"/>
    <w:rsid w:val="44DA1271"/>
    <w:rsid w:val="44E60DAE"/>
    <w:rsid w:val="450C32EE"/>
    <w:rsid w:val="451122FE"/>
    <w:rsid w:val="45243140"/>
    <w:rsid w:val="4546768C"/>
    <w:rsid w:val="454B568D"/>
    <w:rsid w:val="454C5437"/>
    <w:rsid w:val="4551094F"/>
    <w:rsid w:val="456F6B14"/>
    <w:rsid w:val="457D3A08"/>
    <w:rsid w:val="459224C5"/>
    <w:rsid w:val="4595108A"/>
    <w:rsid w:val="459A72C7"/>
    <w:rsid w:val="45A22E33"/>
    <w:rsid w:val="46041F29"/>
    <w:rsid w:val="4605515D"/>
    <w:rsid w:val="460A182F"/>
    <w:rsid w:val="460C3092"/>
    <w:rsid w:val="462A7EF8"/>
    <w:rsid w:val="463674B1"/>
    <w:rsid w:val="463A2D1B"/>
    <w:rsid w:val="4646233F"/>
    <w:rsid w:val="464B6230"/>
    <w:rsid w:val="4650627D"/>
    <w:rsid w:val="46523520"/>
    <w:rsid w:val="46653DFA"/>
    <w:rsid w:val="46867317"/>
    <w:rsid w:val="469B02DC"/>
    <w:rsid w:val="469F4B15"/>
    <w:rsid w:val="46AE3CCF"/>
    <w:rsid w:val="46C95A27"/>
    <w:rsid w:val="46DB3F18"/>
    <w:rsid w:val="46ED2F7C"/>
    <w:rsid w:val="47382CA9"/>
    <w:rsid w:val="47390B6D"/>
    <w:rsid w:val="473F2153"/>
    <w:rsid w:val="474E32D5"/>
    <w:rsid w:val="475B3F29"/>
    <w:rsid w:val="47776798"/>
    <w:rsid w:val="477B49BA"/>
    <w:rsid w:val="477F68C2"/>
    <w:rsid w:val="47971D63"/>
    <w:rsid w:val="479A5FE1"/>
    <w:rsid w:val="47B84081"/>
    <w:rsid w:val="47D71766"/>
    <w:rsid w:val="47E40A36"/>
    <w:rsid w:val="47E54D1E"/>
    <w:rsid w:val="47F13C9C"/>
    <w:rsid w:val="47F14F96"/>
    <w:rsid w:val="48135FC3"/>
    <w:rsid w:val="48215EDF"/>
    <w:rsid w:val="48745F47"/>
    <w:rsid w:val="48DE783F"/>
    <w:rsid w:val="48FE28B9"/>
    <w:rsid w:val="48FF75D2"/>
    <w:rsid w:val="49057D77"/>
    <w:rsid w:val="49403578"/>
    <w:rsid w:val="49451DEF"/>
    <w:rsid w:val="494A23D3"/>
    <w:rsid w:val="494A4B18"/>
    <w:rsid w:val="49563248"/>
    <w:rsid w:val="495A3A4E"/>
    <w:rsid w:val="4979412A"/>
    <w:rsid w:val="49AF5DDC"/>
    <w:rsid w:val="49B04C2D"/>
    <w:rsid w:val="49BC2AF6"/>
    <w:rsid w:val="49C40031"/>
    <w:rsid w:val="49D24E25"/>
    <w:rsid w:val="49D26E8C"/>
    <w:rsid w:val="49D81ABF"/>
    <w:rsid w:val="49DB1A0E"/>
    <w:rsid w:val="49DD736F"/>
    <w:rsid w:val="49FB49DF"/>
    <w:rsid w:val="4A1A31C3"/>
    <w:rsid w:val="4A2B0306"/>
    <w:rsid w:val="4A39274A"/>
    <w:rsid w:val="4A465EDC"/>
    <w:rsid w:val="4A493261"/>
    <w:rsid w:val="4AA6506B"/>
    <w:rsid w:val="4AB76B89"/>
    <w:rsid w:val="4ABB5A8F"/>
    <w:rsid w:val="4AF44808"/>
    <w:rsid w:val="4AF566EF"/>
    <w:rsid w:val="4B0E6D4C"/>
    <w:rsid w:val="4B192FFC"/>
    <w:rsid w:val="4B225A2F"/>
    <w:rsid w:val="4B236AB8"/>
    <w:rsid w:val="4B26541A"/>
    <w:rsid w:val="4B2A4A7E"/>
    <w:rsid w:val="4B30704D"/>
    <w:rsid w:val="4B350EE2"/>
    <w:rsid w:val="4B3E2F27"/>
    <w:rsid w:val="4B4764FB"/>
    <w:rsid w:val="4B5B5BDD"/>
    <w:rsid w:val="4B6057E1"/>
    <w:rsid w:val="4B7E011E"/>
    <w:rsid w:val="4B941543"/>
    <w:rsid w:val="4B9A743A"/>
    <w:rsid w:val="4BBF0520"/>
    <w:rsid w:val="4BC6392E"/>
    <w:rsid w:val="4BDB2BC6"/>
    <w:rsid w:val="4BE71FEF"/>
    <w:rsid w:val="4C0042E7"/>
    <w:rsid w:val="4C152679"/>
    <w:rsid w:val="4C1B3D6A"/>
    <w:rsid w:val="4C214684"/>
    <w:rsid w:val="4C297EC1"/>
    <w:rsid w:val="4C2A0D53"/>
    <w:rsid w:val="4C38760F"/>
    <w:rsid w:val="4C3E134C"/>
    <w:rsid w:val="4C3E6CAF"/>
    <w:rsid w:val="4C4F4C15"/>
    <w:rsid w:val="4C5D7D24"/>
    <w:rsid w:val="4C641A30"/>
    <w:rsid w:val="4C6806EB"/>
    <w:rsid w:val="4C764F79"/>
    <w:rsid w:val="4C7E695A"/>
    <w:rsid w:val="4C8D295F"/>
    <w:rsid w:val="4C903F84"/>
    <w:rsid w:val="4C996837"/>
    <w:rsid w:val="4CA83948"/>
    <w:rsid w:val="4CED0284"/>
    <w:rsid w:val="4D007F29"/>
    <w:rsid w:val="4D08240F"/>
    <w:rsid w:val="4D0B1FAF"/>
    <w:rsid w:val="4D102F00"/>
    <w:rsid w:val="4D171327"/>
    <w:rsid w:val="4D1E2344"/>
    <w:rsid w:val="4D530E25"/>
    <w:rsid w:val="4D6F194B"/>
    <w:rsid w:val="4D715BA7"/>
    <w:rsid w:val="4D805F92"/>
    <w:rsid w:val="4D8B24AC"/>
    <w:rsid w:val="4D8B4ABA"/>
    <w:rsid w:val="4DA241D5"/>
    <w:rsid w:val="4DC84A71"/>
    <w:rsid w:val="4DCA766F"/>
    <w:rsid w:val="4DD84DDB"/>
    <w:rsid w:val="4DE52B10"/>
    <w:rsid w:val="4DFD7208"/>
    <w:rsid w:val="4E064C8F"/>
    <w:rsid w:val="4E3A2847"/>
    <w:rsid w:val="4E425C33"/>
    <w:rsid w:val="4E4A7B3F"/>
    <w:rsid w:val="4E5F4D7F"/>
    <w:rsid w:val="4E6767B2"/>
    <w:rsid w:val="4E7D6AF2"/>
    <w:rsid w:val="4E9E413D"/>
    <w:rsid w:val="4ED37DCD"/>
    <w:rsid w:val="4EDB4CC2"/>
    <w:rsid w:val="4EE259A3"/>
    <w:rsid w:val="4F131541"/>
    <w:rsid w:val="4F1E4E51"/>
    <w:rsid w:val="4F245CEC"/>
    <w:rsid w:val="4F4339B0"/>
    <w:rsid w:val="4F43523B"/>
    <w:rsid w:val="4F772615"/>
    <w:rsid w:val="4F790DB0"/>
    <w:rsid w:val="4F7F3881"/>
    <w:rsid w:val="4F9001AF"/>
    <w:rsid w:val="4F97391B"/>
    <w:rsid w:val="4FA710AF"/>
    <w:rsid w:val="4FAD28CC"/>
    <w:rsid w:val="4FB31D55"/>
    <w:rsid w:val="4FB412CF"/>
    <w:rsid w:val="4FD23F62"/>
    <w:rsid w:val="4FF06398"/>
    <w:rsid w:val="4FF93DBE"/>
    <w:rsid w:val="500853A0"/>
    <w:rsid w:val="502A1264"/>
    <w:rsid w:val="504067E7"/>
    <w:rsid w:val="504E136D"/>
    <w:rsid w:val="505A60C5"/>
    <w:rsid w:val="506767CB"/>
    <w:rsid w:val="506920F5"/>
    <w:rsid w:val="50705916"/>
    <w:rsid w:val="5088590C"/>
    <w:rsid w:val="50B76E3F"/>
    <w:rsid w:val="50C141A2"/>
    <w:rsid w:val="50DC35AD"/>
    <w:rsid w:val="50F405B2"/>
    <w:rsid w:val="511425C3"/>
    <w:rsid w:val="511A3D2D"/>
    <w:rsid w:val="511C4694"/>
    <w:rsid w:val="513D425E"/>
    <w:rsid w:val="51426B22"/>
    <w:rsid w:val="5164548C"/>
    <w:rsid w:val="51764D5F"/>
    <w:rsid w:val="5182074B"/>
    <w:rsid w:val="51853A3A"/>
    <w:rsid w:val="518A0BEF"/>
    <w:rsid w:val="51A07103"/>
    <w:rsid w:val="51B24DBA"/>
    <w:rsid w:val="51B559BD"/>
    <w:rsid w:val="51B75C1A"/>
    <w:rsid w:val="51BD7853"/>
    <w:rsid w:val="51E35CBB"/>
    <w:rsid w:val="51F30752"/>
    <w:rsid w:val="51F41F27"/>
    <w:rsid w:val="51FB1E47"/>
    <w:rsid w:val="52091E6E"/>
    <w:rsid w:val="522662FF"/>
    <w:rsid w:val="52316E71"/>
    <w:rsid w:val="5236267F"/>
    <w:rsid w:val="524F400A"/>
    <w:rsid w:val="525E06D2"/>
    <w:rsid w:val="525F2557"/>
    <w:rsid w:val="526A5C46"/>
    <w:rsid w:val="5272455C"/>
    <w:rsid w:val="52AF3570"/>
    <w:rsid w:val="52CC281F"/>
    <w:rsid w:val="52D65DD5"/>
    <w:rsid w:val="52E5125F"/>
    <w:rsid w:val="52EA742A"/>
    <w:rsid w:val="52EF2F91"/>
    <w:rsid w:val="53164D14"/>
    <w:rsid w:val="5329424F"/>
    <w:rsid w:val="53356DED"/>
    <w:rsid w:val="533E7EA2"/>
    <w:rsid w:val="535F264B"/>
    <w:rsid w:val="53B11DB3"/>
    <w:rsid w:val="53C23680"/>
    <w:rsid w:val="53D77A4C"/>
    <w:rsid w:val="53DA3034"/>
    <w:rsid w:val="53E729C4"/>
    <w:rsid w:val="542639D3"/>
    <w:rsid w:val="542D64C4"/>
    <w:rsid w:val="54394C5C"/>
    <w:rsid w:val="543A112F"/>
    <w:rsid w:val="545F77EF"/>
    <w:rsid w:val="5477214C"/>
    <w:rsid w:val="547861AC"/>
    <w:rsid w:val="547F598D"/>
    <w:rsid w:val="54C34B7A"/>
    <w:rsid w:val="54CD73CD"/>
    <w:rsid w:val="54E3386B"/>
    <w:rsid w:val="54EC5027"/>
    <w:rsid w:val="550A223E"/>
    <w:rsid w:val="55174B6D"/>
    <w:rsid w:val="552F03B5"/>
    <w:rsid w:val="5530522A"/>
    <w:rsid w:val="55340454"/>
    <w:rsid w:val="554F6DCB"/>
    <w:rsid w:val="555B0E9C"/>
    <w:rsid w:val="5594437D"/>
    <w:rsid w:val="55A00B45"/>
    <w:rsid w:val="55A93FD4"/>
    <w:rsid w:val="55C209F6"/>
    <w:rsid w:val="55CA1D9D"/>
    <w:rsid w:val="55D0369C"/>
    <w:rsid w:val="55D46316"/>
    <w:rsid w:val="55D669B1"/>
    <w:rsid w:val="55E55DA1"/>
    <w:rsid w:val="55E87C7B"/>
    <w:rsid w:val="55F3226C"/>
    <w:rsid w:val="560653C6"/>
    <w:rsid w:val="561064F4"/>
    <w:rsid w:val="56106EEB"/>
    <w:rsid w:val="5619294C"/>
    <w:rsid w:val="5626164E"/>
    <w:rsid w:val="563A2509"/>
    <w:rsid w:val="56621AA8"/>
    <w:rsid w:val="567724C6"/>
    <w:rsid w:val="567D0856"/>
    <w:rsid w:val="568462E6"/>
    <w:rsid w:val="56942EDA"/>
    <w:rsid w:val="56972032"/>
    <w:rsid w:val="569D29B5"/>
    <w:rsid w:val="56AB3D93"/>
    <w:rsid w:val="56AD5B4F"/>
    <w:rsid w:val="56CC5C09"/>
    <w:rsid w:val="570270B8"/>
    <w:rsid w:val="570A242B"/>
    <w:rsid w:val="57132951"/>
    <w:rsid w:val="5719010D"/>
    <w:rsid w:val="571B0BC6"/>
    <w:rsid w:val="571F6A6A"/>
    <w:rsid w:val="57246DD0"/>
    <w:rsid w:val="57425AC1"/>
    <w:rsid w:val="574769A7"/>
    <w:rsid w:val="57497054"/>
    <w:rsid w:val="575D1ADF"/>
    <w:rsid w:val="575E4197"/>
    <w:rsid w:val="57653F31"/>
    <w:rsid w:val="576D7DE8"/>
    <w:rsid w:val="57742F6F"/>
    <w:rsid w:val="57941EB4"/>
    <w:rsid w:val="57B96A6C"/>
    <w:rsid w:val="57BD3A81"/>
    <w:rsid w:val="57DF39F3"/>
    <w:rsid w:val="57E84F5F"/>
    <w:rsid w:val="57E905FA"/>
    <w:rsid w:val="580154A4"/>
    <w:rsid w:val="58182879"/>
    <w:rsid w:val="58257DDC"/>
    <w:rsid w:val="582B19C5"/>
    <w:rsid w:val="583D6239"/>
    <w:rsid w:val="584050EC"/>
    <w:rsid w:val="58534947"/>
    <w:rsid w:val="585C2467"/>
    <w:rsid w:val="586771C6"/>
    <w:rsid w:val="58845212"/>
    <w:rsid w:val="58846777"/>
    <w:rsid w:val="58950FF9"/>
    <w:rsid w:val="58A2452E"/>
    <w:rsid w:val="58B82389"/>
    <w:rsid w:val="58E049FD"/>
    <w:rsid w:val="58E608BB"/>
    <w:rsid w:val="58E74D5B"/>
    <w:rsid w:val="58FE090D"/>
    <w:rsid w:val="59145C64"/>
    <w:rsid w:val="592D657F"/>
    <w:rsid w:val="594B101F"/>
    <w:rsid w:val="59661C8B"/>
    <w:rsid w:val="596E7BCC"/>
    <w:rsid w:val="597B510E"/>
    <w:rsid w:val="597B56C5"/>
    <w:rsid w:val="599837D6"/>
    <w:rsid w:val="599E7070"/>
    <w:rsid w:val="59A97266"/>
    <w:rsid w:val="59B84814"/>
    <w:rsid w:val="59EE15FE"/>
    <w:rsid w:val="59F24677"/>
    <w:rsid w:val="59F35E85"/>
    <w:rsid w:val="59F77051"/>
    <w:rsid w:val="59FE3E22"/>
    <w:rsid w:val="5A1A4504"/>
    <w:rsid w:val="5A31607B"/>
    <w:rsid w:val="5A3558F8"/>
    <w:rsid w:val="5A384CAE"/>
    <w:rsid w:val="5A3926F2"/>
    <w:rsid w:val="5A4952AE"/>
    <w:rsid w:val="5A4C6255"/>
    <w:rsid w:val="5A5C079A"/>
    <w:rsid w:val="5A6474DC"/>
    <w:rsid w:val="5A6F7465"/>
    <w:rsid w:val="5A793D7F"/>
    <w:rsid w:val="5A89781E"/>
    <w:rsid w:val="5A9C3EC5"/>
    <w:rsid w:val="5AAA0F18"/>
    <w:rsid w:val="5AD119DC"/>
    <w:rsid w:val="5AE35038"/>
    <w:rsid w:val="5AE8674F"/>
    <w:rsid w:val="5AEF3FBA"/>
    <w:rsid w:val="5AFA7066"/>
    <w:rsid w:val="5B003B12"/>
    <w:rsid w:val="5B0C32C3"/>
    <w:rsid w:val="5B190565"/>
    <w:rsid w:val="5B1C1446"/>
    <w:rsid w:val="5B1C5EA7"/>
    <w:rsid w:val="5B1F216B"/>
    <w:rsid w:val="5B2108F6"/>
    <w:rsid w:val="5B2D6479"/>
    <w:rsid w:val="5B314486"/>
    <w:rsid w:val="5B351417"/>
    <w:rsid w:val="5B3D3EC9"/>
    <w:rsid w:val="5B50349C"/>
    <w:rsid w:val="5B830619"/>
    <w:rsid w:val="5B916BF3"/>
    <w:rsid w:val="5B994FD5"/>
    <w:rsid w:val="5BA7345A"/>
    <w:rsid w:val="5BAE07DF"/>
    <w:rsid w:val="5BBE6A3C"/>
    <w:rsid w:val="5BC744D0"/>
    <w:rsid w:val="5BC80B05"/>
    <w:rsid w:val="5BD01458"/>
    <w:rsid w:val="5BD22215"/>
    <w:rsid w:val="5BD37CFD"/>
    <w:rsid w:val="5BD43B11"/>
    <w:rsid w:val="5BD57E96"/>
    <w:rsid w:val="5BE307CB"/>
    <w:rsid w:val="5C3E62FD"/>
    <w:rsid w:val="5C497FE7"/>
    <w:rsid w:val="5C4C46F5"/>
    <w:rsid w:val="5C4E012D"/>
    <w:rsid w:val="5C502A48"/>
    <w:rsid w:val="5C627538"/>
    <w:rsid w:val="5C6F38BC"/>
    <w:rsid w:val="5C7220BE"/>
    <w:rsid w:val="5C8404A2"/>
    <w:rsid w:val="5C8B2696"/>
    <w:rsid w:val="5CC60311"/>
    <w:rsid w:val="5CD17714"/>
    <w:rsid w:val="5CD214E2"/>
    <w:rsid w:val="5CDD7B71"/>
    <w:rsid w:val="5CE671CC"/>
    <w:rsid w:val="5CE67D07"/>
    <w:rsid w:val="5CFD0BED"/>
    <w:rsid w:val="5CFE1371"/>
    <w:rsid w:val="5D0B6510"/>
    <w:rsid w:val="5D3439F6"/>
    <w:rsid w:val="5D34663F"/>
    <w:rsid w:val="5D4C5FE8"/>
    <w:rsid w:val="5D51266D"/>
    <w:rsid w:val="5D5B3F02"/>
    <w:rsid w:val="5D5D19A6"/>
    <w:rsid w:val="5D633726"/>
    <w:rsid w:val="5D686DEA"/>
    <w:rsid w:val="5D6C675E"/>
    <w:rsid w:val="5D6D4F79"/>
    <w:rsid w:val="5D7445AB"/>
    <w:rsid w:val="5D953697"/>
    <w:rsid w:val="5DA046FF"/>
    <w:rsid w:val="5DB02EBD"/>
    <w:rsid w:val="5DBB403F"/>
    <w:rsid w:val="5DBC670F"/>
    <w:rsid w:val="5DC4505A"/>
    <w:rsid w:val="5DD9281F"/>
    <w:rsid w:val="5DDC37FD"/>
    <w:rsid w:val="5DEA073C"/>
    <w:rsid w:val="5DF34A61"/>
    <w:rsid w:val="5E090AA3"/>
    <w:rsid w:val="5E114C6A"/>
    <w:rsid w:val="5E182C94"/>
    <w:rsid w:val="5E1B7BF7"/>
    <w:rsid w:val="5E2023CC"/>
    <w:rsid w:val="5E24271F"/>
    <w:rsid w:val="5E2B3CFD"/>
    <w:rsid w:val="5E343D6A"/>
    <w:rsid w:val="5E4020F7"/>
    <w:rsid w:val="5E4B43CD"/>
    <w:rsid w:val="5E5063FE"/>
    <w:rsid w:val="5E52487D"/>
    <w:rsid w:val="5E553204"/>
    <w:rsid w:val="5E6218F0"/>
    <w:rsid w:val="5E902C1D"/>
    <w:rsid w:val="5EB10D61"/>
    <w:rsid w:val="5EB75BD0"/>
    <w:rsid w:val="5EBF1B9C"/>
    <w:rsid w:val="5EE42716"/>
    <w:rsid w:val="5EE46EF5"/>
    <w:rsid w:val="5F0862E3"/>
    <w:rsid w:val="5F0C72E9"/>
    <w:rsid w:val="5F102A33"/>
    <w:rsid w:val="5F1428C0"/>
    <w:rsid w:val="5F1B05FE"/>
    <w:rsid w:val="5F2F2B52"/>
    <w:rsid w:val="5F3E5F87"/>
    <w:rsid w:val="5F404C63"/>
    <w:rsid w:val="5F5F64B4"/>
    <w:rsid w:val="5F637934"/>
    <w:rsid w:val="5F6F73A3"/>
    <w:rsid w:val="5F8D7B23"/>
    <w:rsid w:val="5F936B79"/>
    <w:rsid w:val="5FA613F9"/>
    <w:rsid w:val="5FB247DA"/>
    <w:rsid w:val="5FC03FE3"/>
    <w:rsid w:val="5FD06ADA"/>
    <w:rsid w:val="5FDE3678"/>
    <w:rsid w:val="601C4AB5"/>
    <w:rsid w:val="60235645"/>
    <w:rsid w:val="603C5C5B"/>
    <w:rsid w:val="60435F13"/>
    <w:rsid w:val="604C06C1"/>
    <w:rsid w:val="60623BC8"/>
    <w:rsid w:val="606B57B9"/>
    <w:rsid w:val="60872FE9"/>
    <w:rsid w:val="60A80C9C"/>
    <w:rsid w:val="60AB4732"/>
    <w:rsid w:val="60B44E77"/>
    <w:rsid w:val="60C50C41"/>
    <w:rsid w:val="60E11F6E"/>
    <w:rsid w:val="60F75462"/>
    <w:rsid w:val="61010965"/>
    <w:rsid w:val="61027F96"/>
    <w:rsid w:val="610A28F3"/>
    <w:rsid w:val="610A4339"/>
    <w:rsid w:val="61243846"/>
    <w:rsid w:val="613D7AB4"/>
    <w:rsid w:val="6157405C"/>
    <w:rsid w:val="61667332"/>
    <w:rsid w:val="616D3BDD"/>
    <w:rsid w:val="61733356"/>
    <w:rsid w:val="617F1DE8"/>
    <w:rsid w:val="618C1BFA"/>
    <w:rsid w:val="61B37630"/>
    <w:rsid w:val="61B93F93"/>
    <w:rsid w:val="61BA285A"/>
    <w:rsid w:val="61D66772"/>
    <w:rsid w:val="61E07746"/>
    <w:rsid w:val="620D0E5A"/>
    <w:rsid w:val="6216045D"/>
    <w:rsid w:val="621E7E07"/>
    <w:rsid w:val="62222BFC"/>
    <w:rsid w:val="622A1606"/>
    <w:rsid w:val="62651F87"/>
    <w:rsid w:val="62652C06"/>
    <w:rsid w:val="626924CB"/>
    <w:rsid w:val="62862F6E"/>
    <w:rsid w:val="62946E05"/>
    <w:rsid w:val="629604D6"/>
    <w:rsid w:val="62B959E3"/>
    <w:rsid w:val="62C57204"/>
    <w:rsid w:val="62D414E3"/>
    <w:rsid w:val="62FD2CC6"/>
    <w:rsid w:val="63044727"/>
    <w:rsid w:val="630F3A98"/>
    <w:rsid w:val="632D6F35"/>
    <w:rsid w:val="633704B5"/>
    <w:rsid w:val="634A224F"/>
    <w:rsid w:val="63843D37"/>
    <w:rsid w:val="63876582"/>
    <w:rsid w:val="63A8254E"/>
    <w:rsid w:val="63AC619A"/>
    <w:rsid w:val="63B53334"/>
    <w:rsid w:val="63D11E1E"/>
    <w:rsid w:val="63D61F3C"/>
    <w:rsid w:val="63F84601"/>
    <w:rsid w:val="6401647D"/>
    <w:rsid w:val="64091B14"/>
    <w:rsid w:val="641333F3"/>
    <w:rsid w:val="6415690D"/>
    <w:rsid w:val="642166B6"/>
    <w:rsid w:val="64242B59"/>
    <w:rsid w:val="64492206"/>
    <w:rsid w:val="644B54F5"/>
    <w:rsid w:val="64511719"/>
    <w:rsid w:val="64537A32"/>
    <w:rsid w:val="64732EDD"/>
    <w:rsid w:val="64760FD5"/>
    <w:rsid w:val="64864D83"/>
    <w:rsid w:val="648857FE"/>
    <w:rsid w:val="64936BD1"/>
    <w:rsid w:val="64B74DAD"/>
    <w:rsid w:val="64C9160E"/>
    <w:rsid w:val="64D956A7"/>
    <w:rsid w:val="64FB2171"/>
    <w:rsid w:val="650F29C5"/>
    <w:rsid w:val="6513139C"/>
    <w:rsid w:val="65140AE7"/>
    <w:rsid w:val="652C4876"/>
    <w:rsid w:val="6530759A"/>
    <w:rsid w:val="653C63A8"/>
    <w:rsid w:val="6543158C"/>
    <w:rsid w:val="6549193E"/>
    <w:rsid w:val="654E3256"/>
    <w:rsid w:val="65593725"/>
    <w:rsid w:val="6563051B"/>
    <w:rsid w:val="65816C76"/>
    <w:rsid w:val="65874EBB"/>
    <w:rsid w:val="658926D5"/>
    <w:rsid w:val="6591537F"/>
    <w:rsid w:val="65966505"/>
    <w:rsid w:val="65B1455A"/>
    <w:rsid w:val="65D7605C"/>
    <w:rsid w:val="65E00902"/>
    <w:rsid w:val="65F63B22"/>
    <w:rsid w:val="65F75600"/>
    <w:rsid w:val="66122EFC"/>
    <w:rsid w:val="66276C79"/>
    <w:rsid w:val="662E19C5"/>
    <w:rsid w:val="663B2AEA"/>
    <w:rsid w:val="66444B9D"/>
    <w:rsid w:val="66456173"/>
    <w:rsid w:val="66723CE4"/>
    <w:rsid w:val="66772B9B"/>
    <w:rsid w:val="667B61B7"/>
    <w:rsid w:val="66916BE0"/>
    <w:rsid w:val="66936501"/>
    <w:rsid w:val="669955D1"/>
    <w:rsid w:val="66AB6EE2"/>
    <w:rsid w:val="66B1113D"/>
    <w:rsid w:val="66C95629"/>
    <w:rsid w:val="66DB499B"/>
    <w:rsid w:val="66E61015"/>
    <w:rsid w:val="66EB06FA"/>
    <w:rsid w:val="66FE59FD"/>
    <w:rsid w:val="67012D07"/>
    <w:rsid w:val="671320A0"/>
    <w:rsid w:val="671547C3"/>
    <w:rsid w:val="672133A6"/>
    <w:rsid w:val="67306256"/>
    <w:rsid w:val="67615B8C"/>
    <w:rsid w:val="67704A9E"/>
    <w:rsid w:val="677106C5"/>
    <w:rsid w:val="677B2DD8"/>
    <w:rsid w:val="677C5FE7"/>
    <w:rsid w:val="678A336A"/>
    <w:rsid w:val="67A95AE8"/>
    <w:rsid w:val="67B0587B"/>
    <w:rsid w:val="67BB3B1F"/>
    <w:rsid w:val="67BE03FF"/>
    <w:rsid w:val="67C00AA2"/>
    <w:rsid w:val="67E350BB"/>
    <w:rsid w:val="67F04DB8"/>
    <w:rsid w:val="67F267FC"/>
    <w:rsid w:val="67F81284"/>
    <w:rsid w:val="680E4EBC"/>
    <w:rsid w:val="68137E9C"/>
    <w:rsid w:val="6820659C"/>
    <w:rsid w:val="68283B74"/>
    <w:rsid w:val="682B3A30"/>
    <w:rsid w:val="682C2641"/>
    <w:rsid w:val="685A617B"/>
    <w:rsid w:val="685C12F1"/>
    <w:rsid w:val="68613A7F"/>
    <w:rsid w:val="68670FC6"/>
    <w:rsid w:val="687E001C"/>
    <w:rsid w:val="688837A5"/>
    <w:rsid w:val="68AD4038"/>
    <w:rsid w:val="68B63CF9"/>
    <w:rsid w:val="68BD76BE"/>
    <w:rsid w:val="68C12D1B"/>
    <w:rsid w:val="68C3289B"/>
    <w:rsid w:val="68D72337"/>
    <w:rsid w:val="68ED569E"/>
    <w:rsid w:val="690668AC"/>
    <w:rsid w:val="690D0B3C"/>
    <w:rsid w:val="69167E9A"/>
    <w:rsid w:val="692B4AFB"/>
    <w:rsid w:val="6933490B"/>
    <w:rsid w:val="6934010C"/>
    <w:rsid w:val="696704FF"/>
    <w:rsid w:val="69673A0C"/>
    <w:rsid w:val="698043FC"/>
    <w:rsid w:val="698618DC"/>
    <w:rsid w:val="69864939"/>
    <w:rsid w:val="6990630F"/>
    <w:rsid w:val="69E31662"/>
    <w:rsid w:val="69E60F8C"/>
    <w:rsid w:val="69E64D37"/>
    <w:rsid w:val="69EA2292"/>
    <w:rsid w:val="69F03888"/>
    <w:rsid w:val="6A005152"/>
    <w:rsid w:val="6A1443C6"/>
    <w:rsid w:val="6A207C23"/>
    <w:rsid w:val="6A3D772A"/>
    <w:rsid w:val="6A585128"/>
    <w:rsid w:val="6A5C1CFD"/>
    <w:rsid w:val="6A5D54A9"/>
    <w:rsid w:val="6A686F85"/>
    <w:rsid w:val="6A736BF5"/>
    <w:rsid w:val="6A9E1971"/>
    <w:rsid w:val="6AB55801"/>
    <w:rsid w:val="6AB63F74"/>
    <w:rsid w:val="6AB9643D"/>
    <w:rsid w:val="6AC27674"/>
    <w:rsid w:val="6AC46886"/>
    <w:rsid w:val="6AD673DC"/>
    <w:rsid w:val="6AD67D03"/>
    <w:rsid w:val="6AEA17BA"/>
    <w:rsid w:val="6AFD21B6"/>
    <w:rsid w:val="6B065FE1"/>
    <w:rsid w:val="6B0A628E"/>
    <w:rsid w:val="6B0D49AC"/>
    <w:rsid w:val="6B2E761F"/>
    <w:rsid w:val="6B3D260A"/>
    <w:rsid w:val="6B5739C0"/>
    <w:rsid w:val="6B5B481B"/>
    <w:rsid w:val="6B721933"/>
    <w:rsid w:val="6B991C65"/>
    <w:rsid w:val="6BAE7768"/>
    <w:rsid w:val="6BDB6C55"/>
    <w:rsid w:val="6BF50736"/>
    <w:rsid w:val="6BF944CE"/>
    <w:rsid w:val="6C0D50E3"/>
    <w:rsid w:val="6C1F17A0"/>
    <w:rsid w:val="6C1F3282"/>
    <w:rsid w:val="6C262453"/>
    <w:rsid w:val="6C2F5A0A"/>
    <w:rsid w:val="6C7E2150"/>
    <w:rsid w:val="6C851C6C"/>
    <w:rsid w:val="6C8B3B12"/>
    <w:rsid w:val="6C960846"/>
    <w:rsid w:val="6CA46D0D"/>
    <w:rsid w:val="6CA91335"/>
    <w:rsid w:val="6CB66A3D"/>
    <w:rsid w:val="6CCB4B14"/>
    <w:rsid w:val="6CD01A96"/>
    <w:rsid w:val="6CD90555"/>
    <w:rsid w:val="6CDB3AE2"/>
    <w:rsid w:val="6CE46A47"/>
    <w:rsid w:val="6CE57532"/>
    <w:rsid w:val="6CF8639D"/>
    <w:rsid w:val="6CFE2691"/>
    <w:rsid w:val="6D053D87"/>
    <w:rsid w:val="6D28188E"/>
    <w:rsid w:val="6D2A3CA3"/>
    <w:rsid w:val="6D3A58F4"/>
    <w:rsid w:val="6D3D1833"/>
    <w:rsid w:val="6D497864"/>
    <w:rsid w:val="6D4A4F68"/>
    <w:rsid w:val="6D523B9C"/>
    <w:rsid w:val="6D557E15"/>
    <w:rsid w:val="6D6B1047"/>
    <w:rsid w:val="6D763754"/>
    <w:rsid w:val="6D7956B5"/>
    <w:rsid w:val="6D7978E9"/>
    <w:rsid w:val="6D8C1613"/>
    <w:rsid w:val="6D8C73BD"/>
    <w:rsid w:val="6D8D156C"/>
    <w:rsid w:val="6D9A70E3"/>
    <w:rsid w:val="6DA4459D"/>
    <w:rsid w:val="6DB75B27"/>
    <w:rsid w:val="6DD02D07"/>
    <w:rsid w:val="6DE15E40"/>
    <w:rsid w:val="6DF115BF"/>
    <w:rsid w:val="6DF5484E"/>
    <w:rsid w:val="6E2142F8"/>
    <w:rsid w:val="6E2911ED"/>
    <w:rsid w:val="6E2F3BCE"/>
    <w:rsid w:val="6E38533B"/>
    <w:rsid w:val="6E3B4E30"/>
    <w:rsid w:val="6E4F6FFD"/>
    <w:rsid w:val="6E500982"/>
    <w:rsid w:val="6E6A14F6"/>
    <w:rsid w:val="6E7819F1"/>
    <w:rsid w:val="6E8061B2"/>
    <w:rsid w:val="6E94388B"/>
    <w:rsid w:val="6E9E09F1"/>
    <w:rsid w:val="6EA9065C"/>
    <w:rsid w:val="6EC37009"/>
    <w:rsid w:val="6EC74421"/>
    <w:rsid w:val="6ECD3E29"/>
    <w:rsid w:val="6EDA1CCF"/>
    <w:rsid w:val="6EE2217A"/>
    <w:rsid w:val="6EE63B21"/>
    <w:rsid w:val="6EF17C0D"/>
    <w:rsid w:val="6EF54175"/>
    <w:rsid w:val="6EF61077"/>
    <w:rsid w:val="6EFB0E21"/>
    <w:rsid w:val="6F077F8E"/>
    <w:rsid w:val="6F22317F"/>
    <w:rsid w:val="6F2F09D2"/>
    <w:rsid w:val="6F387BBE"/>
    <w:rsid w:val="6F3D359E"/>
    <w:rsid w:val="6F411EAE"/>
    <w:rsid w:val="6F5D5E34"/>
    <w:rsid w:val="6F6773B3"/>
    <w:rsid w:val="6F7D4BCA"/>
    <w:rsid w:val="6F7E4A31"/>
    <w:rsid w:val="6F9B7E44"/>
    <w:rsid w:val="6F9F627E"/>
    <w:rsid w:val="6FA20696"/>
    <w:rsid w:val="6FAF2471"/>
    <w:rsid w:val="6FB15A2E"/>
    <w:rsid w:val="6FDD1BEA"/>
    <w:rsid w:val="6FE03605"/>
    <w:rsid w:val="70052382"/>
    <w:rsid w:val="700F5E8E"/>
    <w:rsid w:val="702348FB"/>
    <w:rsid w:val="702E791B"/>
    <w:rsid w:val="70356C19"/>
    <w:rsid w:val="705F4534"/>
    <w:rsid w:val="70814FF2"/>
    <w:rsid w:val="708C711B"/>
    <w:rsid w:val="709E5464"/>
    <w:rsid w:val="70B96DA3"/>
    <w:rsid w:val="70DE71CE"/>
    <w:rsid w:val="70E15DDE"/>
    <w:rsid w:val="70FC38B8"/>
    <w:rsid w:val="71036944"/>
    <w:rsid w:val="710A569C"/>
    <w:rsid w:val="711741BA"/>
    <w:rsid w:val="71174E11"/>
    <w:rsid w:val="71331F91"/>
    <w:rsid w:val="716C4369"/>
    <w:rsid w:val="717D0A4B"/>
    <w:rsid w:val="717E6AAE"/>
    <w:rsid w:val="71813B93"/>
    <w:rsid w:val="718F30FF"/>
    <w:rsid w:val="71923D3E"/>
    <w:rsid w:val="71A10CA1"/>
    <w:rsid w:val="71A2575C"/>
    <w:rsid w:val="71A92685"/>
    <w:rsid w:val="71C3716F"/>
    <w:rsid w:val="71D64FB3"/>
    <w:rsid w:val="71E61EA4"/>
    <w:rsid w:val="71FC26FB"/>
    <w:rsid w:val="72131E7B"/>
    <w:rsid w:val="72187A28"/>
    <w:rsid w:val="72400BBB"/>
    <w:rsid w:val="726B16F4"/>
    <w:rsid w:val="726B70AD"/>
    <w:rsid w:val="727E15E2"/>
    <w:rsid w:val="72C92C6A"/>
    <w:rsid w:val="72D05718"/>
    <w:rsid w:val="72D53004"/>
    <w:rsid w:val="72F6192A"/>
    <w:rsid w:val="72FF09DF"/>
    <w:rsid w:val="7302307A"/>
    <w:rsid w:val="730971FB"/>
    <w:rsid w:val="730C17D1"/>
    <w:rsid w:val="731304C0"/>
    <w:rsid w:val="732C0E08"/>
    <w:rsid w:val="73443582"/>
    <w:rsid w:val="7358234E"/>
    <w:rsid w:val="736343BD"/>
    <w:rsid w:val="73635A70"/>
    <w:rsid w:val="73637CC6"/>
    <w:rsid w:val="736E247B"/>
    <w:rsid w:val="736E3854"/>
    <w:rsid w:val="736F3422"/>
    <w:rsid w:val="737C6120"/>
    <w:rsid w:val="737D0326"/>
    <w:rsid w:val="73813F93"/>
    <w:rsid w:val="73896F75"/>
    <w:rsid w:val="73931A43"/>
    <w:rsid w:val="73A51D3F"/>
    <w:rsid w:val="73C5446E"/>
    <w:rsid w:val="73CF56BD"/>
    <w:rsid w:val="73DA6EA5"/>
    <w:rsid w:val="73E500E7"/>
    <w:rsid w:val="73EF142A"/>
    <w:rsid w:val="740645A4"/>
    <w:rsid w:val="7409571D"/>
    <w:rsid w:val="74103C29"/>
    <w:rsid w:val="74185FEB"/>
    <w:rsid w:val="741F7353"/>
    <w:rsid w:val="743167B4"/>
    <w:rsid w:val="743620D5"/>
    <w:rsid w:val="74395BD2"/>
    <w:rsid w:val="74622E9D"/>
    <w:rsid w:val="748F35E1"/>
    <w:rsid w:val="749B08DB"/>
    <w:rsid w:val="749E55E7"/>
    <w:rsid w:val="74A84DCA"/>
    <w:rsid w:val="74AF72DE"/>
    <w:rsid w:val="74D8389E"/>
    <w:rsid w:val="74DF44F0"/>
    <w:rsid w:val="74E116E5"/>
    <w:rsid w:val="74EA4149"/>
    <w:rsid w:val="74F10E47"/>
    <w:rsid w:val="75096BBA"/>
    <w:rsid w:val="75141031"/>
    <w:rsid w:val="75166735"/>
    <w:rsid w:val="751E472C"/>
    <w:rsid w:val="75455B62"/>
    <w:rsid w:val="75560046"/>
    <w:rsid w:val="755E6B53"/>
    <w:rsid w:val="75636542"/>
    <w:rsid w:val="75750D13"/>
    <w:rsid w:val="758C3423"/>
    <w:rsid w:val="759666B8"/>
    <w:rsid w:val="75966701"/>
    <w:rsid w:val="759D51C2"/>
    <w:rsid w:val="75A00F59"/>
    <w:rsid w:val="75C84D31"/>
    <w:rsid w:val="75D703F9"/>
    <w:rsid w:val="75DE50DA"/>
    <w:rsid w:val="75E62F58"/>
    <w:rsid w:val="75E810AB"/>
    <w:rsid w:val="76061FB5"/>
    <w:rsid w:val="760C2D42"/>
    <w:rsid w:val="760D4EFE"/>
    <w:rsid w:val="761A1075"/>
    <w:rsid w:val="763965AA"/>
    <w:rsid w:val="763B361C"/>
    <w:rsid w:val="7643596A"/>
    <w:rsid w:val="76491EB7"/>
    <w:rsid w:val="76500260"/>
    <w:rsid w:val="769135A9"/>
    <w:rsid w:val="76950085"/>
    <w:rsid w:val="76C47BE3"/>
    <w:rsid w:val="76CB2356"/>
    <w:rsid w:val="76D05694"/>
    <w:rsid w:val="76D572EF"/>
    <w:rsid w:val="76DC200D"/>
    <w:rsid w:val="76DF0C6D"/>
    <w:rsid w:val="76EF12F5"/>
    <w:rsid w:val="77122CEB"/>
    <w:rsid w:val="771741B7"/>
    <w:rsid w:val="772A3ADE"/>
    <w:rsid w:val="772F0FC6"/>
    <w:rsid w:val="773063FF"/>
    <w:rsid w:val="77313F64"/>
    <w:rsid w:val="773E1208"/>
    <w:rsid w:val="774F4CB3"/>
    <w:rsid w:val="775973C7"/>
    <w:rsid w:val="777C500F"/>
    <w:rsid w:val="779A432E"/>
    <w:rsid w:val="77A72D0A"/>
    <w:rsid w:val="77B42397"/>
    <w:rsid w:val="77B4695D"/>
    <w:rsid w:val="77B5041E"/>
    <w:rsid w:val="77B70063"/>
    <w:rsid w:val="77C03EFC"/>
    <w:rsid w:val="77C5062D"/>
    <w:rsid w:val="77C5764E"/>
    <w:rsid w:val="77DD2A54"/>
    <w:rsid w:val="77EF5ED1"/>
    <w:rsid w:val="77F57F69"/>
    <w:rsid w:val="77F934E8"/>
    <w:rsid w:val="78261045"/>
    <w:rsid w:val="7841447B"/>
    <w:rsid w:val="78555E29"/>
    <w:rsid w:val="78581DE7"/>
    <w:rsid w:val="785D3CF9"/>
    <w:rsid w:val="78664AAE"/>
    <w:rsid w:val="786C0071"/>
    <w:rsid w:val="78767EA0"/>
    <w:rsid w:val="788D7EA7"/>
    <w:rsid w:val="78945422"/>
    <w:rsid w:val="789B19B6"/>
    <w:rsid w:val="79022334"/>
    <w:rsid w:val="791F3A70"/>
    <w:rsid w:val="7932266E"/>
    <w:rsid w:val="79754775"/>
    <w:rsid w:val="79A37D1C"/>
    <w:rsid w:val="79B25908"/>
    <w:rsid w:val="79B438C8"/>
    <w:rsid w:val="79D50F12"/>
    <w:rsid w:val="79DC291A"/>
    <w:rsid w:val="79E27E10"/>
    <w:rsid w:val="79F60F09"/>
    <w:rsid w:val="7A0F3269"/>
    <w:rsid w:val="7A204256"/>
    <w:rsid w:val="7A237E71"/>
    <w:rsid w:val="7A4862CA"/>
    <w:rsid w:val="7A69664C"/>
    <w:rsid w:val="7A6F3470"/>
    <w:rsid w:val="7A754B2A"/>
    <w:rsid w:val="7A871310"/>
    <w:rsid w:val="7A8C6913"/>
    <w:rsid w:val="7A98608E"/>
    <w:rsid w:val="7AAC6ABA"/>
    <w:rsid w:val="7AB07A41"/>
    <w:rsid w:val="7AB134A2"/>
    <w:rsid w:val="7AC52E49"/>
    <w:rsid w:val="7ACA2006"/>
    <w:rsid w:val="7ACE3397"/>
    <w:rsid w:val="7AD32290"/>
    <w:rsid w:val="7AE1152C"/>
    <w:rsid w:val="7B035C34"/>
    <w:rsid w:val="7B142969"/>
    <w:rsid w:val="7B286433"/>
    <w:rsid w:val="7B453786"/>
    <w:rsid w:val="7B463653"/>
    <w:rsid w:val="7B495EA0"/>
    <w:rsid w:val="7B4C6B53"/>
    <w:rsid w:val="7B5F6378"/>
    <w:rsid w:val="7B6646C0"/>
    <w:rsid w:val="7B7D659C"/>
    <w:rsid w:val="7B83012D"/>
    <w:rsid w:val="7B87449B"/>
    <w:rsid w:val="7B8B4181"/>
    <w:rsid w:val="7BA9594F"/>
    <w:rsid w:val="7BC70C58"/>
    <w:rsid w:val="7BE852C6"/>
    <w:rsid w:val="7BF009E2"/>
    <w:rsid w:val="7BF17C22"/>
    <w:rsid w:val="7C1136E8"/>
    <w:rsid w:val="7C153B36"/>
    <w:rsid w:val="7C357A6A"/>
    <w:rsid w:val="7C3A72CA"/>
    <w:rsid w:val="7C4430B1"/>
    <w:rsid w:val="7C523C2A"/>
    <w:rsid w:val="7C60085F"/>
    <w:rsid w:val="7C6F1D99"/>
    <w:rsid w:val="7C824F1A"/>
    <w:rsid w:val="7C831822"/>
    <w:rsid w:val="7C8A057B"/>
    <w:rsid w:val="7C8A341C"/>
    <w:rsid w:val="7C946A7A"/>
    <w:rsid w:val="7CA501A4"/>
    <w:rsid w:val="7CB36EFA"/>
    <w:rsid w:val="7CBF7B72"/>
    <w:rsid w:val="7CD046B2"/>
    <w:rsid w:val="7CE81FB0"/>
    <w:rsid w:val="7D0152B1"/>
    <w:rsid w:val="7D055FA4"/>
    <w:rsid w:val="7D0B5EAE"/>
    <w:rsid w:val="7D1758AB"/>
    <w:rsid w:val="7D2A2DD9"/>
    <w:rsid w:val="7D5B1F2E"/>
    <w:rsid w:val="7D6D7979"/>
    <w:rsid w:val="7D777122"/>
    <w:rsid w:val="7D777DD8"/>
    <w:rsid w:val="7D807740"/>
    <w:rsid w:val="7D861C87"/>
    <w:rsid w:val="7DA07BB2"/>
    <w:rsid w:val="7DA4622F"/>
    <w:rsid w:val="7DA74DCC"/>
    <w:rsid w:val="7DB27AC1"/>
    <w:rsid w:val="7DE315F5"/>
    <w:rsid w:val="7DE641B3"/>
    <w:rsid w:val="7DFB4ED9"/>
    <w:rsid w:val="7E2948FC"/>
    <w:rsid w:val="7E3C514F"/>
    <w:rsid w:val="7E3C5C00"/>
    <w:rsid w:val="7E4A5602"/>
    <w:rsid w:val="7E5A3DE8"/>
    <w:rsid w:val="7E653E75"/>
    <w:rsid w:val="7E6D617E"/>
    <w:rsid w:val="7E6F64A3"/>
    <w:rsid w:val="7E721917"/>
    <w:rsid w:val="7E790CBC"/>
    <w:rsid w:val="7E86682B"/>
    <w:rsid w:val="7E895189"/>
    <w:rsid w:val="7E97738B"/>
    <w:rsid w:val="7EA03B92"/>
    <w:rsid w:val="7EA24B38"/>
    <w:rsid w:val="7EB44EE5"/>
    <w:rsid w:val="7EC76CDA"/>
    <w:rsid w:val="7ED55B28"/>
    <w:rsid w:val="7EE03924"/>
    <w:rsid w:val="7EEB4155"/>
    <w:rsid w:val="7F067644"/>
    <w:rsid w:val="7F0E3283"/>
    <w:rsid w:val="7F160F5D"/>
    <w:rsid w:val="7F1F23A1"/>
    <w:rsid w:val="7F276804"/>
    <w:rsid w:val="7F3A29D1"/>
    <w:rsid w:val="7F3F1BB8"/>
    <w:rsid w:val="7F5A4A98"/>
    <w:rsid w:val="7F5E6CE8"/>
    <w:rsid w:val="7FA64545"/>
    <w:rsid w:val="7FAB478A"/>
    <w:rsid w:val="7FAD6F13"/>
    <w:rsid w:val="7FAE5D44"/>
    <w:rsid w:val="7FCF397B"/>
    <w:rsid w:val="7FD63873"/>
    <w:rsid w:val="7FE452EE"/>
    <w:rsid w:val="7FFF64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qFormat="1" w:unhideWhenUsed="0" w:uiPriority="0" w:semiHidden="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99"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semiHidden="0" w:name="Default Paragraph Font"/>
    <w:lsdException w:uiPriority="0" w:name="Body Text"/>
    <w:lsdException w:qFormat="1" w:unhideWhenUsed="0" w:uiPriority="0"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qFormat="1" w:unhideWhenUsed="0" w:uiPriority="0"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4"/>
    <w:qFormat/>
    <w:uiPriority w:val="0"/>
    <w:pPr>
      <w:keepNext/>
      <w:keepLines/>
      <w:spacing w:before="340" w:after="330" w:line="576" w:lineRule="auto"/>
      <w:jc w:val="center"/>
      <w:outlineLvl w:val="0"/>
    </w:pPr>
    <w:rPr>
      <w:b/>
      <w:kern w:val="44"/>
      <w:sz w:val="36"/>
    </w:rPr>
  </w:style>
  <w:style w:type="paragraph" w:styleId="3">
    <w:name w:val="heading 2"/>
    <w:basedOn w:val="1"/>
    <w:next w:val="1"/>
    <w:link w:val="25"/>
    <w:unhideWhenUsed/>
    <w:qFormat/>
    <w:uiPriority w:val="0"/>
    <w:pPr>
      <w:keepNext/>
      <w:keepLines/>
      <w:spacing w:before="260" w:after="260" w:line="413" w:lineRule="auto"/>
      <w:jc w:val="center"/>
      <w:outlineLvl w:val="1"/>
    </w:pPr>
    <w:rPr>
      <w:rFonts w:ascii="Arial" w:hAnsi="Arial"/>
      <w:b/>
      <w:sz w:val="24"/>
    </w:rPr>
  </w:style>
  <w:style w:type="paragraph" w:styleId="4">
    <w:name w:val="heading 3"/>
    <w:basedOn w:val="1"/>
    <w:next w:val="1"/>
    <w:unhideWhenUsed/>
    <w:qFormat/>
    <w:uiPriority w:val="0"/>
    <w:pPr>
      <w:keepNext/>
      <w:keepLines/>
      <w:spacing w:before="260" w:after="260" w:line="413" w:lineRule="auto"/>
      <w:outlineLvl w:val="2"/>
    </w:pPr>
    <w:rPr>
      <w:b/>
      <w:sz w:val="32"/>
    </w:rPr>
  </w:style>
  <w:style w:type="character" w:default="1" w:styleId="17">
    <w:name w:val="Default Paragraph Font"/>
    <w:unhideWhenUsed/>
    <w:qFormat/>
    <w:uiPriority w:val="1"/>
  </w:style>
  <w:style w:type="table" w:default="1" w:styleId="15">
    <w:name w:val="Normal Table"/>
    <w:unhideWhenUsed/>
    <w:qFormat/>
    <w:uiPriority w:val="99"/>
    <w:tblPr>
      <w:tblLayout w:type="fixed"/>
      <w:tblCellMar>
        <w:top w:w="0" w:type="dxa"/>
        <w:left w:w="108" w:type="dxa"/>
        <w:bottom w:w="0" w:type="dxa"/>
        <w:right w:w="108" w:type="dxa"/>
      </w:tblCellMar>
    </w:tblPr>
  </w:style>
  <w:style w:type="paragraph" w:styleId="5">
    <w:name w:val="annotation text"/>
    <w:basedOn w:val="1"/>
    <w:link w:val="27"/>
    <w:qFormat/>
    <w:uiPriority w:val="0"/>
    <w:pPr>
      <w:jc w:val="left"/>
    </w:pPr>
  </w:style>
  <w:style w:type="paragraph" w:styleId="6">
    <w:name w:val="Body Text Indent"/>
    <w:basedOn w:val="1"/>
    <w:next w:val="1"/>
    <w:qFormat/>
    <w:uiPriority w:val="0"/>
    <w:pPr>
      <w:spacing w:line="300" w:lineRule="auto"/>
      <w:ind w:firstLine="480"/>
    </w:pPr>
    <w:rPr>
      <w:rFonts w:ascii="宋体" w:hAnsi="宋体"/>
      <w:sz w:val="24"/>
    </w:rPr>
  </w:style>
  <w:style w:type="paragraph" w:styleId="7">
    <w:name w:val="toc 3"/>
    <w:basedOn w:val="1"/>
    <w:next w:val="1"/>
    <w:qFormat/>
    <w:uiPriority w:val="0"/>
    <w:pPr>
      <w:ind w:left="840" w:leftChars="400"/>
    </w:pPr>
  </w:style>
  <w:style w:type="paragraph" w:styleId="8">
    <w:name w:val="Balloon Text"/>
    <w:basedOn w:val="1"/>
    <w:link w:val="26"/>
    <w:qFormat/>
    <w:uiPriority w:val="0"/>
    <w:rPr>
      <w:sz w:val="18"/>
      <w:szCs w:val="18"/>
    </w:rPr>
  </w:style>
  <w:style w:type="paragraph" w:styleId="9">
    <w:name w:val="footer"/>
    <w:basedOn w:val="1"/>
    <w:qFormat/>
    <w:uiPriority w:val="99"/>
    <w:pPr>
      <w:tabs>
        <w:tab w:val="center" w:pos="4153"/>
        <w:tab w:val="right" w:pos="8306"/>
      </w:tabs>
      <w:snapToGrid w:val="0"/>
      <w:jc w:val="left"/>
    </w:pPr>
  </w:style>
  <w:style w:type="paragraph" w:styleId="10">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1">
    <w:name w:val="toc 1"/>
    <w:basedOn w:val="1"/>
    <w:next w:val="1"/>
    <w:qFormat/>
    <w:uiPriority w:val="0"/>
  </w:style>
  <w:style w:type="paragraph" w:styleId="12">
    <w:name w:val="toc 2"/>
    <w:basedOn w:val="1"/>
    <w:next w:val="1"/>
    <w:qFormat/>
    <w:uiPriority w:val="0"/>
    <w:pPr>
      <w:ind w:left="420" w:leftChars="200"/>
    </w:pPr>
  </w:style>
  <w:style w:type="paragraph" w:styleId="13">
    <w:name w:val="annotation subject"/>
    <w:basedOn w:val="5"/>
    <w:next w:val="5"/>
    <w:link w:val="28"/>
    <w:qFormat/>
    <w:uiPriority w:val="0"/>
    <w:rPr>
      <w:b/>
      <w:bCs/>
    </w:rPr>
  </w:style>
  <w:style w:type="paragraph" w:styleId="14">
    <w:name w:val="Body Text First Indent 2"/>
    <w:basedOn w:val="6"/>
    <w:qFormat/>
    <w:uiPriority w:val="0"/>
    <w:pPr>
      <w:ind w:firstLine="420" w:firstLineChars="200"/>
    </w:pPr>
  </w:style>
  <w:style w:type="table" w:styleId="16">
    <w:name w:val="Table Grid"/>
    <w:basedOn w:val="1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Strong"/>
    <w:basedOn w:val="17"/>
    <w:qFormat/>
    <w:uiPriority w:val="0"/>
    <w:rPr>
      <w:b/>
    </w:rPr>
  </w:style>
  <w:style w:type="character" w:styleId="19">
    <w:name w:val="page number"/>
    <w:basedOn w:val="17"/>
    <w:qFormat/>
    <w:uiPriority w:val="0"/>
  </w:style>
  <w:style w:type="character" w:styleId="20">
    <w:name w:val="Hyperlink"/>
    <w:basedOn w:val="17"/>
    <w:qFormat/>
    <w:uiPriority w:val="0"/>
    <w:rPr>
      <w:color w:val="0000FF"/>
      <w:u w:val="single"/>
    </w:rPr>
  </w:style>
  <w:style w:type="character" w:styleId="21">
    <w:name w:val="annotation reference"/>
    <w:basedOn w:val="17"/>
    <w:qFormat/>
    <w:uiPriority w:val="99"/>
    <w:rPr>
      <w:sz w:val="21"/>
      <w:szCs w:val="21"/>
    </w:rPr>
  </w:style>
  <w:style w:type="paragraph" w:customStyle="1" w:styleId="22">
    <w:name w:val="条文"/>
    <w:basedOn w:val="1"/>
    <w:qFormat/>
    <w:uiPriority w:val="0"/>
    <w:pPr>
      <w:spacing w:line="300" w:lineRule="auto"/>
      <w:outlineLvl w:val="2"/>
    </w:pPr>
    <w:rPr>
      <w:sz w:val="24"/>
    </w:rPr>
  </w:style>
  <w:style w:type="paragraph" w:customStyle="1" w:styleId="23">
    <w:name w:val="字母编号列项（一级）"/>
    <w:qFormat/>
    <w:uiPriority w:val="0"/>
    <w:pPr>
      <w:numPr>
        <w:ilvl w:val="0"/>
        <w:numId w:val="1"/>
      </w:numPr>
      <w:jc w:val="both"/>
    </w:pPr>
    <w:rPr>
      <w:rFonts w:ascii="宋体" w:hAnsi="Times New Roman" w:eastAsia="宋体" w:cs="Times New Roman"/>
      <w:sz w:val="21"/>
      <w:szCs w:val="22"/>
      <w:lang w:val="en-US" w:eastAsia="zh-CN" w:bidi="ar-SA"/>
    </w:rPr>
  </w:style>
  <w:style w:type="character" w:customStyle="1" w:styleId="24">
    <w:name w:val="标题 1 字符"/>
    <w:basedOn w:val="17"/>
    <w:link w:val="2"/>
    <w:qFormat/>
    <w:uiPriority w:val="0"/>
    <w:rPr>
      <w:b/>
      <w:kern w:val="44"/>
      <w:sz w:val="36"/>
      <w:szCs w:val="24"/>
    </w:rPr>
  </w:style>
  <w:style w:type="character" w:customStyle="1" w:styleId="25">
    <w:name w:val="标题 2 字符"/>
    <w:basedOn w:val="17"/>
    <w:link w:val="3"/>
    <w:qFormat/>
    <w:uiPriority w:val="0"/>
    <w:rPr>
      <w:rFonts w:ascii="Arial" w:hAnsi="Arial"/>
      <w:b/>
      <w:kern w:val="2"/>
      <w:sz w:val="24"/>
      <w:szCs w:val="24"/>
    </w:rPr>
  </w:style>
  <w:style w:type="character" w:customStyle="1" w:styleId="26">
    <w:name w:val="批注框文本 字符"/>
    <w:basedOn w:val="17"/>
    <w:link w:val="8"/>
    <w:qFormat/>
    <w:uiPriority w:val="0"/>
    <w:rPr>
      <w:kern w:val="2"/>
      <w:sz w:val="18"/>
      <w:szCs w:val="18"/>
    </w:rPr>
  </w:style>
  <w:style w:type="character" w:customStyle="1" w:styleId="27">
    <w:name w:val="批注文字 字符"/>
    <w:basedOn w:val="17"/>
    <w:link w:val="5"/>
    <w:qFormat/>
    <w:uiPriority w:val="0"/>
    <w:rPr>
      <w:kern w:val="2"/>
      <w:sz w:val="21"/>
      <w:szCs w:val="24"/>
    </w:rPr>
  </w:style>
  <w:style w:type="character" w:customStyle="1" w:styleId="28">
    <w:name w:val="批注主题 字符"/>
    <w:basedOn w:val="27"/>
    <w:link w:val="13"/>
    <w:qFormat/>
    <w:uiPriority w:val="0"/>
    <w:rPr>
      <w:b/>
      <w:bCs/>
      <w:kern w:val="2"/>
      <w:sz w:val="21"/>
      <w:szCs w:val="24"/>
    </w:rPr>
  </w:style>
  <w:style w:type="paragraph" w:customStyle="1" w:styleId="29">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1.wmf"/><Relationship Id="rId7" Type="http://schemas.openxmlformats.org/officeDocument/2006/relationships/oleObject" Target="embeddings/oleObject1.bin"/><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7.w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6.wmf"/><Relationship Id="rId17" Type="http://schemas.openxmlformats.org/officeDocument/2006/relationships/oleObject" Target="embeddings/oleObject6.bin"/><Relationship Id="rId16" Type="http://schemas.openxmlformats.org/officeDocument/2006/relationships/image" Target="media/image5.wmf"/><Relationship Id="rId15" Type="http://schemas.openxmlformats.org/officeDocument/2006/relationships/oleObject" Target="embeddings/oleObject5.bin"/><Relationship Id="rId14" Type="http://schemas.openxmlformats.org/officeDocument/2006/relationships/image" Target="media/image4.wmf"/><Relationship Id="rId13" Type="http://schemas.openxmlformats.org/officeDocument/2006/relationships/oleObject" Target="embeddings/oleObject4.bin"/><Relationship Id="rId12" Type="http://schemas.openxmlformats.org/officeDocument/2006/relationships/image" Target="media/image3.wmf"/><Relationship Id="rId11" Type="http://schemas.openxmlformats.org/officeDocument/2006/relationships/oleObject" Target="embeddings/oleObject3.bin"/><Relationship Id="rId10" Type="http://schemas.openxmlformats.org/officeDocument/2006/relationships/image" Target="media/image2.wmf"/><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323232"/>
      </a:dk1>
      <a:lt1>
        <a:sysClr val="window" lastClr="EBF1FA"/>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53</Pages>
  <Words>12876</Words>
  <Characters>16249</Characters>
  <Lines>191</Lines>
  <Paragraphs>53</Paragraphs>
  <TotalTime>1</TotalTime>
  <ScaleCrop>false</ScaleCrop>
  <LinksUpToDate>false</LinksUpToDate>
  <CharactersWithSpaces>18211</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2022-02-24T17:04:00Z</dcterms:created>
  <dc:creator>Administrator</dc:creator>
  <cp:lastModifiedBy>Administrator</cp:lastModifiedBy>
  <cp:lastPrinted>2020-08-11T01:28:00Z</cp:lastPrinted>
  <dcterms:modified xsi:type="dcterms:W3CDTF">2022-03-29T06:44:48Z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97CEB6F6D6A947DA8521DE2369FB123E</vt:lpwstr>
  </property>
</Properties>
</file>